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050D3" w14:textId="6DA5114D" w:rsidR="004C7B51" w:rsidRPr="00D02FE7" w:rsidRDefault="00D02FE7" w:rsidP="00C37CA6">
      <w:pPr>
        <w:rPr>
          <w:b/>
          <w:bCs/>
          <w:sz w:val="32"/>
          <w:szCs w:val="32"/>
        </w:rPr>
      </w:pPr>
      <w:r w:rsidRPr="00D02FE7">
        <w:rPr>
          <w:b/>
          <w:bCs/>
          <w:noProof/>
          <w:sz w:val="32"/>
          <w:szCs w:val="32"/>
        </w:rPr>
        <mc:AlternateContent>
          <mc:Choice Requires="wps">
            <w:drawing>
              <wp:anchor distT="45720" distB="45720" distL="114300" distR="114300" simplePos="0" relativeHeight="251661312" behindDoc="0" locked="0" layoutInCell="1" allowOverlap="1" wp14:anchorId="3EDCAA4D" wp14:editId="7095B3F3">
                <wp:simplePos x="0" y="0"/>
                <wp:positionH relativeFrom="page">
                  <wp:align>right</wp:align>
                </wp:positionH>
                <wp:positionV relativeFrom="paragraph">
                  <wp:posOffset>3178810</wp:posOffset>
                </wp:positionV>
                <wp:extent cx="7502525" cy="1404620"/>
                <wp:effectExtent l="0" t="0" r="0" b="0"/>
                <wp:wrapSquare wrapText="bothSides"/>
                <wp:docPr id="217" name="Text Box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2525" cy="1404620"/>
                        </a:xfrm>
                        <a:prstGeom prst="rect">
                          <a:avLst/>
                        </a:prstGeom>
                        <a:noFill/>
                        <a:ln w="9525">
                          <a:noFill/>
                          <a:miter lim="800000"/>
                          <a:headEnd/>
                          <a:tailEnd/>
                        </a:ln>
                      </wps:spPr>
                      <wps:txbx>
                        <w:txbxContent>
                          <w:p w14:paraId="0A1E26E3" w14:textId="36884040" w:rsidR="00381863" w:rsidRPr="00084267" w:rsidRDefault="00084267" w:rsidP="00084267">
                            <w:pPr>
                              <w:spacing w:after="40" w:line="240" w:lineRule="auto"/>
                              <w:jc w:val="center"/>
                              <w:rPr>
                                <w:rFonts w:ascii="Arial" w:hAnsi="Arial" w:cs="Arial"/>
                                <w:b/>
                                <w:bCs/>
                                <w:color w:val="002060"/>
                                <w:sz w:val="64"/>
                                <w:szCs w:val="64"/>
                              </w:rPr>
                            </w:pPr>
                            <w:r w:rsidRPr="00084267">
                              <w:rPr>
                                <w:rFonts w:ascii="Arial" w:hAnsi="Arial" w:cs="Arial"/>
                                <w:b/>
                                <w:bCs/>
                                <w:color w:val="002060"/>
                                <w:sz w:val="180"/>
                                <w:szCs w:val="180"/>
                              </w:rPr>
                              <w:t>M&amp;A NDA</w:t>
                            </w:r>
                            <w:r>
                              <w:rPr>
                                <w:rFonts w:ascii="Arial" w:hAnsi="Arial" w:cs="Arial"/>
                                <w:b/>
                                <w:bCs/>
                                <w:color w:val="002060"/>
                                <w:sz w:val="144"/>
                                <w:szCs w:val="144"/>
                              </w:rPr>
                              <w:br/>
                            </w:r>
                            <w:r>
                              <w:rPr>
                                <w:rFonts w:ascii="Arial" w:hAnsi="Arial" w:cs="Arial"/>
                                <w:b/>
                                <w:bCs/>
                                <w:color w:val="002060"/>
                                <w:sz w:val="64"/>
                                <w:szCs w:val="64"/>
                              </w:rPr>
                              <w:t>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DCAA4D" id="_x0000_t202" coordsize="21600,21600" o:spt="202" path="m,l,21600r21600,l21600,xe">
                <v:stroke joinstyle="miter"/>
                <v:path gradientshapeok="t" o:connecttype="rect"/>
              </v:shapetype>
              <v:shape id="Text Box 2" o:spid="_x0000_s1026" type="#_x0000_t202" href="https://privateequitybro.com/Advanced-resources/" style="position:absolute;margin-left:539.55pt;margin-top:250.3pt;width:590.75pt;height:110.6pt;z-index:251661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" o:button="t" filled="f" stroked="f">
                <v:fill o:detectmouseclick="t"/>
                <v:textbox style="mso-fit-shape-to-text:t">
                  <w:txbxContent>
                    <w:p w14:paraId="0A1E26E3" w14:textId="36884040" w:rsidR="00381863" w:rsidRPr="00084267" w:rsidRDefault="00084267" w:rsidP="00084267">
                      <w:pPr>
                        <w:spacing w:after="40" w:line="240" w:lineRule="auto"/>
                        <w:jc w:val="center"/>
                        <w:rPr>
                          <w:rFonts w:ascii="Arial" w:hAnsi="Arial" w:cs="Arial"/>
                          <w:b/>
                          <w:bCs/>
                          <w:color w:val="002060"/>
                          <w:sz w:val="64"/>
                          <w:szCs w:val="64"/>
                        </w:rPr>
                      </w:pPr>
                      <w:r w:rsidRPr="00084267">
                        <w:rPr>
                          <w:rFonts w:ascii="Arial" w:hAnsi="Arial" w:cs="Arial"/>
                          <w:b/>
                          <w:bCs/>
                          <w:color w:val="002060"/>
                          <w:sz w:val="180"/>
                          <w:szCs w:val="180"/>
                        </w:rPr>
                        <w:t>M&amp;A NDA</w:t>
                      </w:r>
                      <w:r>
                        <w:rPr>
                          <w:rFonts w:ascii="Arial" w:hAnsi="Arial" w:cs="Arial"/>
                          <w:b/>
                          <w:bCs/>
                          <w:color w:val="002060"/>
                          <w:sz w:val="144"/>
                          <w:szCs w:val="144"/>
                        </w:rPr>
                        <w:br/>
                      </w:r>
                      <w:r>
                        <w:rPr>
                          <w:rFonts w:ascii="Arial" w:hAnsi="Arial" w:cs="Arial"/>
                          <w:b/>
                          <w:bCs/>
                          <w:color w:val="002060"/>
                          <w:sz w:val="64"/>
                          <w:szCs w:val="64"/>
                        </w:rPr>
                        <w:t>Template</w:t>
                      </w:r>
                    </w:p>
                  </w:txbxContent>
                </v:textbox>
                <w10:wrap type="square" anchorx="page"/>
              </v:shape>
            </w:pict>
          </mc:Fallback>
        </mc:AlternateContent>
      </w:r>
      <w:r w:rsidRPr="00D02FE7">
        <w:rPr>
          <w:noProof/>
          <w:sz w:val="32"/>
          <w:szCs w:val="32"/>
        </w:rPr>
        <mc:AlternateContent>
          <mc:Choice Requires="wps">
            <w:drawing>
              <wp:anchor distT="0" distB="0" distL="114300" distR="114300" simplePos="0" relativeHeight="251659264" behindDoc="0" locked="0" layoutInCell="1" allowOverlap="1" wp14:anchorId="3CADA40C" wp14:editId="353E8F67">
                <wp:simplePos x="0" y="0"/>
                <wp:positionH relativeFrom="page">
                  <wp:align>right</wp:align>
                </wp:positionH>
                <wp:positionV relativeFrom="paragraph">
                  <wp:posOffset>3104707</wp:posOffset>
                </wp:positionV>
                <wp:extent cx="7556323" cy="2038350"/>
                <wp:effectExtent l="0" t="0" r="6985" b="0"/>
                <wp:wrapNone/>
                <wp:docPr id="3" name="Rectangle 3">
                  <a:hlinkClick xmlns:a="http://schemas.openxmlformats.org/drawingml/2006/main" r:id="rId7"/>
                </wp:docPr>
                <wp:cNvGraphicFramePr/>
                <a:graphic xmlns:a="http://schemas.openxmlformats.org/drawingml/2006/main">
                  <a:graphicData uri="http://schemas.microsoft.com/office/word/2010/wordprocessingShape">
                    <wps:wsp>
                      <wps:cNvSpPr/>
                      <wps:spPr>
                        <a:xfrm>
                          <a:off x="0" y="0"/>
                          <a:ext cx="7556323" cy="2038350"/>
                        </a:xfrm>
                        <a:prstGeom prst="rect">
                          <a:avLst/>
                        </a:prstGeom>
                        <a:solidFill>
                          <a:srgbClr val="FFFFFF">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EA0465" id="Rectangle 3" o:spid="_x0000_s1026" href="https://privateequitybro.com/Advanced-resources/" style="position:absolute;margin-left:543.8pt;margin-top:244.45pt;width:595pt;height:160.5pt;z-index:2516592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" o:button="t" stroked="f" strokeweight="1pt">
                <v:fill opacity="39321f" o:detectmouseclick="t"/>
                <w10:wrap anchorx="page"/>
              </v:rect>
            </w:pict>
          </mc:Fallback>
        </mc:AlternateContent>
      </w:r>
      <w:r w:rsidRPr="00D02FE7">
        <w:rPr>
          <w:noProof/>
          <w:sz w:val="32"/>
          <w:szCs w:val="32"/>
        </w:rPr>
        <w:drawing>
          <wp:anchor distT="0" distB="0" distL="114300" distR="114300" simplePos="0" relativeHeight="251658240" behindDoc="0" locked="0" layoutInCell="1" allowOverlap="1" wp14:anchorId="5B69D63C" wp14:editId="0B6D4D92">
            <wp:simplePos x="0" y="0"/>
            <wp:positionH relativeFrom="page">
              <wp:align>left</wp:align>
            </wp:positionH>
            <wp:positionV relativeFrom="paragraph">
              <wp:posOffset>-903767</wp:posOffset>
            </wp:positionV>
            <wp:extent cx="7524425" cy="11336020"/>
            <wp:effectExtent l="0" t="0" r="635" b="0"/>
            <wp:wrapNone/>
            <wp:docPr id="2" name="Picture 2" descr="Reflective Skyscraper in Dayligh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flective Skyscraper in Dayligh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425" cy="1133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CA6" w:rsidRPr="00D02FE7">
        <w:rPr>
          <w:b/>
          <w:bCs/>
          <w:sz w:val="32"/>
          <w:szCs w:val="32"/>
        </w:rPr>
        <w:br w:type="page"/>
      </w:r>
      <w:r w:rsidR="004C7B51" w:rsidRPr="00D02FE7">
        <w:rPr>
          <w:b/>
          <w:bCs/>
          <w:sz w:val="32"/>
          <w:szCs w:val="32"/>
        </w:rPr>
        <w:lastRenderedPageBreak/>
        <w:t xml:space="preserve">M&amp;A NDAs: </w:t>
      </w:r>
      <w:r w:rsidR="00084267" w:rsidRPr="00D02FE7">
        <w:rPr>
          <w:b/>
          <w:bCs/>
          <w:sz w:val="32"/>
          <w:szCs w:val="32"/>
        </w:rPr>
        <w:t>Overview</w:t>
      </w:r>
    </w:p>
    <w:p w14:paraId="5C2317C1" w14:textId="77777777" w:rsidR="00C37CA6" w:rsidRDefault="004C7B51" w:rsidP="004C7B51">
      <w:r w:rsidRPr="004C7B51">
        <w:t>Before a merger or acquisition even reaches the negotiation table, confidentiality is paramount. Companies exchange highly sensitive information</w:t>
      </w:r>
      <w:r w:rsidR="00C37CA6">
        <w:t xml:space="preserve"> </w:t>
      </w:r>
      <w:r w:rsidRPr="004C7B51">
        <w:t>—</w:t>
      </w:r>
      <w:r w:rsidR="00C37CA6">
        <w:t xml:space="preserve"> </w:t>
      </w:r>
      <w:r w:rsidRPr="004C7B51">
        <w:t>from financial details and intellectual property to strategic insights and trade secrets</w:t>
      </w:r>
      <w:r w:rsidR="00C37CA6">
        <w:t xml:space="preserve"> </w:t>
      </w:r>
      <w:r w:rsidRPr="004C7B51">
        <w:t>—</w:t>
      </w:r>
      <w:r w:rsidR="00C37CA6">
        <w:t xml:space="preserve"> </w:t>
      </w:r>
      <w:r w:rsidRPr="004C7B51">
        <w:t xml:space="preserve">and ensuring that this information remains secure can make or break a deal. </w:t>
      </w:r>
    </w:p>
    <w:p w14:paraId="1ED7FDC0" w14:textId="77777777" w:rsidR="00C37CA6" w:rsidRDefault="004C7B51">
      <w:r w:rsidRPr="004C7B51">
        <w:t>A well-drafted Non-Disclosure Agreement (NDA) is critical here. Far from being a mere formality, an M&amp;A NDA provides a foundation of trust, setting clear boundaries on how information can be used and detailing the consequences of breaching those boundaries.</w:t>
      </w:r>
    </w:p>
    <w:p w14:paraId="228F72FD" w14:textId="77777777" w:rsidR="00C37CA6" w:rsidRDefault="00C37CA6">
      <w:r>
        <w:pict w14:anchorId="4A9EC2D4">
          <v:rect id="_x0000_i1059" style="width:0;height:1.5pt" o:hralign="center" o:hrstd="t" o:hr="t" fillcolor="#a0a0a0" stroked="f"/>
        </w:pict>
      </w:r>
    </w:p>
    <w:p w14:paraId="630C2F71" w14:textId="08326333" w:rsidR="00C37CA6" w:rsidRDefault="00C37CA6">
      <w:r>
        <w:t xml:space="preserve">For related content and products, don’t forget to check our </w:t>
      </w:r>
      <w:hyperlink r:id="rId9" w:history="1">
        <w:r w:rsidRPr="00C37CA6">
          <w:rPr>
            <w:rStyle w:val="Hyperlink"/>
          </w:rPr>
          <w:t>M&amp;A materials</w:t>
        </w:r>
      </w:hyperlink>
      <w:r>
        <w:t>:</w:t>
      </w:r>
    </w:p>
    <w:p w14:paraId="40E5DEE8" w14:textId="1527DF44" w:rsidR="00C37CA6" w:rsidRDefault="00C37CA6" w:rsidP="00C37CA6">
      <w:pPr>
        <w:pStyle w:val="ListParagraph"/>
        <w:numPr>
          <w:ilvl w:val="0"/>
          <w:numId w:val="43"/>
        </w:numPr>
      </w:pPr>
      <w:hyperlink r:id="rId10" w:history="1">
        <w:r w:rsidRPr="00C37CA6">
          <w:rPr>
            <w:rStyle w:val="Hyperlink"/>
          </w:rPr>
          <w:t xml:space="preserve">Investment Banking </w:t>
        </w:r>
        <w:r>
          <w:rPr>
            <w:rStyle w:val="Hyperlink"/>
          </w:rPr>
          <w:t xml:space="preserve">Transactions </w:t>
        </w:r>
        <w:r w:rsidRPr="00C37CA6">
          <w:rPr>
            <w:rStyle w:val="Hyperlink"/>
          </w:rPr>
          <w:t>Database</w:t>
        </w:r>
      </w:hyperlink>
    </w:p>
    <w:p w14:paraId="072DD180" w14:textId="458625B5" w:rsidR="00C37CA6" w:rsidRDefault="00C37CA6" w:rsidP="00C37CA6">
      <w:pPr>
        <w:pStyle w:val="ListParagraph"/>
        <w:numPr>
          <w:ilvl w:val="0"/>
          <w:numId w:val="43"/>
        </w:numPr>
      </w:pPr>
      <w:hyperlink r:id="rId11" w:history="1">
        <w:r w:rsidRPr="00C37CA6">
          <w:rPr>
            <w:rStyle w:val="Hyperlink"/>
          </w:rPr>
          <w:t>LBO Model</w:t>
        </w:r>
      </w:hyperlink>
    </w:p>
    <w:p w14:paraId="219D217E" w14:textId="74921AEB" w:rsidR="00C37CA6" w:rsidRDefault="00C37CA6" w:rsidP="00C37CA6">
      <w:pPr>
        <w:pStyle w:val="ListParagraph"/>
        <w:numPr>
          <w:ilvl w:val="0"/>
          <w:numId w:val="43"/>
        </w:numPr>
      </w:pPr>
      <w:hyperlink r:id="rId12" w:history="1">
        <w:r w:rsidRPr="00C37CA6">
          <w:rPr>
            <w:rStyle w:val="Hyperlink"/>
          </w:rPr>
          <w:t>Merger Model</w:t>
        </w:r>
      </w:hyperlink>
    </w:p>
    <w:p w14:paraId="2D401040" w14:textId="3383FAE3" w:rsidR="00C37CA6" w:rsidRDefault="00C37CA6" w:rsidP="00C37CA6">
      <w:pPr>
        <w:pStyle w:val="ListParagraph"/>
        <w:numPr>
          <w:ilvl w:val="0"/>
          <w:numId w:val="43"/>
        </w:numPr>
      </w:pPr>
      <w:hyperlink r:id="rId13" w:history="1">
        <w:r w:rsidRPr="00C37CA6">
          <w:rPr>
            <w:rStyle w:val="Hyperlink"/>
          </w:rPr>
          <w:t>FoF Model</w:t>
        </w:r>
      </w:hyperlink>
    </w:p>
    <w:p w14:paraId="44160D78" w14:textId="7CCC89E1" w:rsidR="00C37CA6" w:rsidRDefault="00C37CA6" w:rsidP="00C37CA6">
      <w:pPr>
        <w:pStyle w:val="ListParagraph"/>
        <w:numPr>
          <w:ilvl w:val="0"/>
          <w:numId w:val="43"/>
        </w:numPr>
      </w:pPr>
      <w:hyperlink r:id="rId14" w:history="1">
        <w:r w:rsidRPr="00C37CA6">
          <w:rPr>
            <w:rStyle w:val="Hyperlink"/>
          </w:rPr>
          <w:t>R</w:t>
        </w:r>
        <w:r w:rsidR="00D02FE7">
          <w:rPr>
            <w:rStyle w:val="Hyperlink"/>
          </w:rPr>
          <w:t>eal Estate</w:t>
        </w:r>
        <w:r w:rsidRPr="00C37CA6">
          <w:rPr>
            <w:rStyle w:val="Hyperlink"/>
          </w:rPr>
          <w:t xml:space="preserve"> Case Study</w:t>
        </w:r>
      </w:hyperlink>
      <w:r>
        <w:tab/>
      </w:r>
    </w:p>
    <w:p w14:paraId="19048A2B" w14:textId="40AF3777" w:rsidR="00C37CA6" w:rsidRDefault="00C37CA6" w:rsidP="00C37CA6">
      <w:r>
        <w:t>and many more…</w:t>
      </w:r>
      <w:r>
        <w:br w:type="page"/>
      </w:r>
    </w:p>
    <w:p w14:paraId="03508748" w14:textId="75D5755E" w:rsidR="00DE58A2" w:rsidRPr="00DE58A2" w:rsidRDefault="00BC5B65" w:rsidP="00DE58A2">
      <w:pPr>
        <w:rPr>
          <w:b/>
          <w:bCs/>
          <w:sz w:val="32"/>
          <w:szCs w:val="32"/>
          <w:u w:val="single"/>
        </w:rPr>
      </w:pPr>
      <w:r w:rsidRPr="00894CD6">
        <w:rPr>
          <w:b/>
          <w:bCs/>
          <w:sz w:val="32"/>
          <w:szCs w:val="32"/>
          <w:u w:val="single"/>
        </w:rPr>
        <w:lastRenderedPageBreak/>
        <w:t>Template example</w:t>
      </w:r>
    </w:p>
    <w:p w14:paraId="68FCED6D" w14:textId="77777777" w:rsidR="00BC5B65" w:rsidRPr="00BC5B65" w:rsidRDefault="00BC5B65" w:rsidP="00BC5B65">
      <w:r w:rsidRPr="00BC5B65">
        <w:rPr>
          <w:b/>
          <w:bCs/>
        </w:rPr>
        <w:t>CONFIDENTIALITY AND NON-DISCLOSURE AGREEMENT</w:t>
      </w:r>
    </w:p>
    <w:p w14:paraId="4A2D4C42" w14:textId="39DF99BE" w:rsidR="00BC5B65" w:rsidRPr="00BC5B65" w:rsidRDefault="00BC5B65" w:rsidP="00BC5B65">
      <w:r w:rsidRPr="00BC5B65">
        <w:t>This Confidentiality and Non-Disclosure Agreement (the “Agreement”) is entered into on this ___ day of __________</w:t>
      </w:r>
      <w:r w:rsidRPr="00BC5B65">
        <w:rPr>
          <w:b/>
          <w:bCs/>
        </w:rPr>
        <w:t>, 20</w:t>
      </w:r>
      <w:r w:rsidRPr="00BC5B65">
        <w:t xml:space="preserve">, by and between </w:t>
      </w:r>
      <w:hyperlink r:id="rId15" w:history="1">
        <w:r w:rsidRPr="00D02FE7">
          <w:rPr>
            <w:rStyle w:val="Hyperlink"/>
            <w:b/>
            <w:bCs/>
          </w:rPr>
          <w:t>Private Equity Bro</w:t>
        </w:r>
      </w:hyperlink>
      <w:r w:rsidRPr="00BC5B65">
        <w:t xml:space="preserve"> (“Disclosing Party”) and </w:t>
      </w:r>
      <w:r w:rsidR="00084267">
        <w:rPr>
          <w:b/>
          <w:bCs/>
        </w:rPr>
        <w:t>ABC Capital Inc</w:t>
      </w:r>
      <w:r w:rsidRPr="00BC5B65">
        <w:rPr>
          <w:b/>
          <w:bCs/>
        </w:rPr>
        <w:t>.</w:t>
      </w:r>
      <w:r w:rsidRPr="00BC5B65">
        <w:t>, a Delaware Corporation (“Recipient”), hereinafter individually referred to as a “Party” and collectively as the “Parties.”</w:t>
      </w:r>
    </w:p>
    <w:p w14:paraId="46D35BC3" w14:textId="77777777" w:rsidR="00BC5B65" w:rsidRPr="00BC5B65" w:rsidRDefault="00BC5B65" w:rsidP="00BC5B65">
      <w:proofErr w:type="gramStart"/>
      <w:r w:rsidRPr="00BC5B65">
        <w:rPr>
          <w:b/>
          <w:bCs/>
        </w:rPr>
        <w:t>WHEREAS,</w:t>
      </w:r>
      <w:proofErr w:type="gramEnd"/>
      <w:r w:rsidRPr="00BC5B65">
        <w:t xml:space="preserve"> Disclosing Party and Recipient intend to explore a potential business transaction (the “Transaction”) involving confidential exchanges of certain information; and</w:t>
      </w:r>
    </w:p>
    <w:p w14:paraId="3574353C" w14:textId="77777777" w:rsidR="00BC5B65" w:rsidRPr="00BC5B65" w:rsidRDefault="00BC5B65" w:rsidP="00BC5B65">
      <w:proofErr w:type="gramStart"/>
      <w:r w:rsidRPr="00BC5B65">
        <w:rPr>
          <w:b/>
          <w:bCs/>
        </w:rPr>
        <w:t>WHEREAS,</w:t>
      </w:r>
      <w:proofErr w:type="gramEnd"/>
      <w:r w:rsidRPr="00BC5B65">
        <w:t xml:space="preserve"> the Parties anticipate disclosing information that is confidential and proprietary in nature and seek to protect that information in accordance with the terms of this Agreement;</w:t>
      </w:r>
    </w:p>
    <w:p w14:paraId="462B2021" w14:textId="77777777" w:rsidR="00BC5B65" w:rsidRPr="00BC5B65" w:rsidRDefault="00BC5B65" w:rsidP="00BC5B65">
      <w:r w:rsidRPr="00BC5B65">
        <w:rPr>
          <w:b/>
          <w:bCs/>
        </w:rPr>
        <w:t>NOW, THEREFORE,</w:t>
      </w:r>
      <w:r w:rsidRPr="00BC5B65">
        <w:t xml:space="preserve"> in consideration of the mutual promises contained herein and other good and valuable consideration, the Parties agree as follows:</w:t>
      </w:r>
    </w:p>
    <w:p w14:paraId="7F7C69F3" w14:textId="77777777" w:rsidR="00BC5B65" w:rsidRPr="00BC5B65" w:rsidRDefault="00000000" w:rsidP="00BC5B65">
      <w:r>
        <w:pict w14:anchorId="53443EB6">
          <v:rect id="_x0000_i1030" style="width:0;height:1.5pt" o:hralign="center" o:hrstd="t" o:hr="t" fillcolor="#a0a0a0" stroked="f"/>
        </w:pict>
      </w:r>
    </w:p>
    <w:p w14:paraId="62F998EB" w14:textId="77777777" w:rsidR="00BC5B65" w:rsidRPr="00BC5B65" w:rsidRDefault="00BC5B65" w:rsidP="00BC5B65">
      <w:pPr>
        <w:rPr>
          <w:b/>
          <w:bCs/>
        </w:rPr>
      </w:pPr>
      <w:r w:rsidRPr="00BC5B65">
        <w:rPr>
          <w:b/>
          <w:bCs/>
        </w:rPr>
        <w:t>1. Definition of Confidential Information</w:t>
      </w:r>
    </w:p>
    <w:p w14:paraId="1C6C6323" w14:textId="77777777" w:rsidR="00BC5B65" w:rsidRPr="00BC5B65" w:rsidRDefault="00BC5B65" w:rsidP="00BC5B65">
      <w:r w:rsidRPr="00BC5B65">
        <w:rPr>
          <w:b/>
          <w:bCs/>
        </w:rPr>
        <w:t>“Confidential Information”</w:t>
      </w:r>
      <w:r w:rsidRPr="00BC5B65">
        <w:t xml:space="preserve"> shall mean all non-public, proprietary, or confidential information disclosed, whether orally or in writing, by Disclosing Party to Recipient or any of its Representatives, including but not limited to:</w:t>
      </w:r>
    </w:p>
    <w:p w14:paraId="0524018C" w14:textId="77777777" w:rsidR="00BC5B65" w:rsidRPr="00BC5B65" w:rsidRDefault="00BC5B65" w:rsidP="00BC5B65">
      <w:pPr>
        <w:numPr>
          <w:ilvl w:val="0"/>
          <w:numId w:val="27"/>
        </w:numPr>
      </w:pPr>
      <w:r w:rsidRPr="00BC5B65">
        <w:t xml:space="preserve">Financial data, statements, projections, and other financial </w:t>
      </w:r>
      <w:proofErr w:type="gramStart"/>
      <w:r w:rsidRPr="00BC5B65">
        <w:t>information;</w:t>
      </w:r>
      <w:proofErr w:type="gramEnd"/>
    </w:p>
    <w:p w14:paraId="515C0471" w14:textId="77777777" w:rsidR="00BC5B65" w:rsidRPr="00BC5B65" w:rsidRDefault="00BC5B65" w:rsidP="00BC5B65">
      <w:pPr>
        <w:numPr>
          <w:ilvl w:val="0"/>
          <w:numId w:val="27"/>
        </w:numPr>
      </w:pPr>
      <w:r w:rsidRPr="00BC5B65">
        <w:t xml:space="preserve">Business operations, strategies, pricing, sales, marketing, and advertising </w:t>
      </w:r>
      <w:proofErr w:type="gramStart"/>
      <w:r w:rsidRPr="00BC5B65">
        <w:t>data;</w:t>
      </w:r>
      <w:proofErr w:type="gramEnd"/>
    </w:p>
    <w:p w14:paraId="52233FD0" w14:textId="77777777" w:rsidR="00BC5B65" w:rsidRPr="00BC5B65" w:rsidRDefault="00BC5B65" w:rsidP="00BC5B65">
      <w:pPr>
        <w:numPr>
          <w:ilvl w:val="0"/>
          <w:numId w:val="27"/>
        </w:numPr>
      </w:pPr>
      <w:r w:rsidRPr="00BC5B65">
        <w:t xml:space="preserve">Customer and supplier lists, contracts, and </w:t>
      </w:r>
      <w:proofErr w:type="gramStart"/>
      <w:r w:rsidRPr="00BC5B65">
        <w:t>relationships;</w:t>
      </w:r>
      <w:proofErr w:type="gramEnd"/>
    </w:p>
    <w:p w14:paraId="2D53E375" w14:textId="77777777" w:rsidR="00BC5B65" w:rsidRPr="00BC5B65" w:rsidRDefault="00BC5B65" w:rsidP="00BC5B65">
      <w:pPr>
        <w:numPr>
          <w:ilvl w:val="0"/>
          <w:numId w:val="27"/>
        </w:numPr>
      </w:pPr>
      <w:r w:rsidRPr="00BC5B65">
        <w:t xml:space="preserve">Intellectual property, such as trade secrets, patents, designs, processes, and </w:t>
      </w:r>
      <w:proofErr w:type="gramStart"/>
      <w:r w:rsidRPr="00BC5B65">
        <w:t>know-how;</w:t>
      </w:r>
      <w:proofErr w:type="gramEnd"/>
    </w:p>
    <w:p w14:paraId="0649D1A1" w14:textId="77777777" w:rsidR="00BC5B65" w:rsidRPr="00BC5B65" w:rsidRDefault="00BC5B65" w:rsidP="00BC5B65">
      <w:pPr>
        <w:numPr>
          <w:ilvl w:val="0"/>
          <w:numId w:val="27"/>
        </w:numPr>
      </w:pPr>
      <w:r w:rsidRPr="00BC5B65">
        <w:t xml:space="preserve">Employee information, workforce composition, and organizational </w:t>
      </w:r>
      <w:proofErr w:type="gramStart"/>
      <w:r w:rsidRPr="00BC5B65">
        <w:t>structures;</w:t>
      </w:r>
      <w:proofErr w:type="gramEnd"/>
    </w:p>
    <w:p w14:paraId="58FBC3F6" w14:textId="77777777" w:rsidR="00BC5B65" w:rsidRPr="00BC5B65" w:rsidRDefault="00BC5B65" w:rsidP="00BC5B65">
      <w:pPr>
        <w:numPr>
          <w:ilvl w:val="0"/>
          <w:numId w:val="27"/>
        </w:numPr>
      </w:pPr>
      <w:r w:rsidRPr="00BC5B65">
        <w:t>Any analyses, notes, summaries, compilations, or other documents derived from the disclosed information.</w:t>
      </w:r>
    </w:p>
    <w:p w14:paraId="4D99903B" w14:textId="77777777" w:rsidR="00BC5B65" w:rsidRPr="00BC5B65" w:rsidRDefault="00BC5B65" w:rsidP="00BC5B65">
      <w:r w:rsidRPr="00BC5B65">
        <w:t>Confidential Information includes any other data that would reasonably be regarded as proprietary or confidential based on the nature of the information and industry standards.</w:t>
      </w:r>
    </w:p>
    <w:p w14:paraId="173EF570" w14:textId="77777777" w:rsidR="00BC5B65" w:rsidRPr="00BC5B65" w:rsidRDefault="00000000" w:rsidP="00BC5B65">
      <w:r>
        <w:pict w14:anchorId="7C26A1E8">
          <v:rect id="_x0000_i1031" style="width:0;height:1.5pt" o:hralign="center" o:hrstd="t" o:hr="t" fillcolor="#a0a0a0" stroked="f"/>
        </w:pict>
      </w:r>
    </w:p>
    <w:p w14:paraId="655A8088" w14:textId="77777777" w:rsidR="00BC5B65" w:rsidRPr="00BC5B65" w:rsidRDefault="00BC5B65" w:rsidP="00BC5B65">
      <w:pPr>
        <w:rPr>
          <w:b/>
          <w:bCs/>
        </w:rPr>
      </w:pPr>
      <w:r w:rsidRPr="00BC5B65">
        <w:rPr>
          <w:b/>
          <w:bCs/>
        </w:rPr>
        <w:t>2. Exclusions from Confidential Information</w:t>
      </w:r>
    </w:p>
    <w:p w14:paraId="5C01E01C" w14:textId="77777777" w:rsidR="00BC5B65" w:rsidRPr="00BC5B65" w:rsidRDefault="00BC5B65" w:rsidP="00BC5B65">
      <w:r w:rsidRPr="00BC5B65">
        <w:lastRenderedPageBreak/>
        <w:t>Confidential Information shall not include information that:</w:t>
      </w:r>
    </w:p>
    <w:p w14:paraId="4EFF71EE" w14:textId="77777777" w:rsidR="00BC5B65" w:rsidRPr="00BC5B65" w:rsidRDefault="00BC5B65" w:rsidP="00BC5B65">
      <w:pPr>
        <w:numPr>
          <w:ilvl w:val="0"/>
          <w:numId w:val="28"/>
        </w:numPr>
      </w:pPr>
      <w:r w:rsidRPr="00BC5B65">
        <w:t xml:space="preserve">Is or becomes generally available to the public other than as a result of a breach of this Agreement by Recipient or its </w:t>
      </w:r>
      <w:proofErr w:type="gramStart"/>
      <w:r w:rsidRPr="00BC5B65">
        <w:t>Representatives;</w:t>
      </w:r>
      <w:proofErr w:type="gramEnd"/>
    </w:p>
    <w:p w14:paraId="38C2968C" w14:textId="77777777" w:rsidR="00BC5B65" w:rsidRPr="00BC5B65" w:rsidRDefault="00BC5B65" w:rsidP="00BC5B65">
      <w:pPr>
        <w:numPr>
          <w:ilvl w:val="0"/>
          <w:numId w:val="28"/>
        </w:numPr>
      </w:pPr>
      <w:r w:rsidRPr="00BC5B65">
        <w:t xml:space="preserve">Was in Recipient’s possession prior to disclosure, as shown by documentary evidence, without obligation of </w:t>
      </w:r>
      <w:proofErr w:type="gramStart"/>
      <w:r w:rsidRPr="00BC5B65">
        <w:t>confidentiality;</w:t>
      </w:r>
      <w:proofErr w:type="gramEnd"/>
    </w:p>
    <w:p w14:paraId="1C163F98" w14:textId="77777777" w:rsidR="00BC5B65" w:rsidRPr="00BC5B65" w:rsidRDefault="00BC5B65" w:rsidP="00BC5B65">
      <w:pPr>
        <w:numPr>
          <w:ilvl w:val="0"/>
          <w:numId w:val="28"/>
        </w:numPr>
      </w:pPr>
      <w:r w:rsidRPr="00BC5B65">
        <w:t xml:space="preserve">Is disclosed to Recipient by a third party who, to Recipient’s knowledge, is not prohibited from disclosing such information by contractual or legal </w:t>
      </w:r>
      <w:proofErr w:type="gramStart"/>
      <w:r w:rsidRPr="00BC5B65">
        <w:t>obligation;</w:t>
      </w:r>
      <w:proofErr w:type="gramEnd"/>
    </w:p>
    <w:p w14:paraId="1C926FAE" w14:textId="77777777" w:rsidR="00BC5B65" w:rsidRPr="00BC5B65" w:rsidRDefault="00BC5B65" w:rsidP="00BC5B65">
      <w:pPr>
        <w:numPr>
          <w:ilvl w:val="0"/>
          <w:numId w:val="28"/>
        </w:numPr>
      </w:pPr>
      <w:r w:rsidRPr="00BC5B65">
        <w:t>Was or is independently developed by Recipient without reference to or use of Disclosing Party’s Confidential Information, as demonstrated by documentary evidence.</w:t>
      </w:r>
    </w:p>
    <w:p w14:paraId="38D3284C" w14:textId="77777777" w:rsidR="00BC5B65" w:rsidRPr="00BC5B65" w:rsidRDefault="00000000" w:rsidP="00BC5B65">
      <w:r>
        <w:pict w14:anchorId="711E40A8">
          <v:rect id="_x0000_i1032" style="width:0;height:1.5pt" o:hralign="center" o:hrstd="t" o:hr="t" fillcolor="#a0a0a0" stroked="f"/>
        </w:pict>
      </w:r>
    </w:p>
    <w:p w14:paraId="17BDCD65" w14:textId="77777777" w:rsidR="00BC5B65" w:rsidRPr="00BC5B65" w:rsidRDefault="00BC5B65" w:rsidP="00BC5B65">
      <w:pPr>
        <w:rPr>
          <w:b/>
          <w:bCs/>
        </w:rPr>
      </w:pPr>
      <w:r w:rsidRPr="00BC5B65">
        <w:rPr>
          <w:b/>
          <w:bCs/>
        </w:rPr>
        <w:t>3. Obligations of Confidentiality</w:t>
      </w:r>
    </w:p>
    <w:p w14:paraId="677D50BD" w14:textId="77777777" w:rsidR="00BC5B65" w:rsidRPr="00BC5B65" w:rsidRDefault="00BC5B65" w:rsidP="00BC5B65">
      <w:r w:rsidRPr="00BC5B65">
        <w:t>Recipient agrees to:</w:t>
      </w:r>
    </w:p>
    <w:p w14:paraId="4D8F5394" w14:textId="77777777" w:rsidR="00BC5B65" w:rsidRPr="00BC5B65" w:rsidRDefault="00BC5B65" w:rsidP="00BC5B65">
      <w:pPr>
        <w:numPr>
          <w:ilvl w:val="0"/>
          <w:numId w:val="29"/>
        </w:numPr>
      </w:pPr>
      <w:r w:rsidRPr="00BC5B65">
        <w:rPr>
          <w:b/>
          <w:bCs/>
        </w:rPr>
        <w:t>Protect and safeguard</w:t>
      </w:r>
      <w:r w:rsidRPr="00BC5B65">
        <w:t xml:space="preserve"> all Confidential Information with at least the same level of care as it uses to protect its own confidential and proprietary information but no less than a commercially reasonable standard of </w:t>
      </w:r>
      <w:proofErr w:type="gramStart"/>
      <w:r w:rsidRPr="00BC5B65">
        <w:t>care;</w:t>
      </w:r>
      <w:proofErr w:type="gramEnd"/>
    </w:p>
    <w:p w14:paraId="0E862458" w14:textId="77777777" w:rsidR="00BC5B65" w:rsidRPr="00BC5B65" w:rsidRDefault="00BC5B65" w:rsidP="00BC5B65">
      <w:pPr>
        <w:numPr>
          <w:ilvl w:val="0"/>
          <w:numId w:val="29"/>
        </w:numPr>
      </w:pPr>
      <w:r w:rsidRPr="00BC5B65">
        <w:rPr>
          <w:b/>
          <w:bCs/>
        </w:rPr>
        <w:t>Limit disclosure</w:t>
      </w:r>
      <w:r w:rsidRPr="00BC5B65">
        <w:t xml:space="preserve"> of Confidential Information solely to its employees, advisors, or agents who need to know the information for purposes related to the Transaction (“Representatives”</w:t>
      </w:r>
      <w:proofErr w:type="gramStart"/>
      <w:r w:rsidRPr="00BC5B65">
        <w:t>);</w:t>
      </w:r>
      <w:proofErr w:type="gramEnd"/>
    </w:p>
    <w:p w14:paraId="4B2CF3B3" w14:textId="77777777" w:rsidR="00BC5B65" w:rsidRPr="00BC5B65" w:rsidRDefault="00BC5B65" w:rsidP="00BC5B65">
      <w:pPr>
        <w:numPr>
          <w:ilvl w:val="0"/>
          <w:numId w:val="29"/>
        </w:numPr>
      </w:pPr>
      <w:r w:rsidRPr="00BC5B65">
        <w:rPr>
          <w:b/>
          <w:bCs/>
        </w:rPr>
        <w:t>Ensure that all Representatives</w:t>
      </w:r>
      <w:r w:rsidRPr="00BC5B65">
        <w:t xml:space="preserve"> who receive Confidential Information understand and agree to abide by the confidentiality obligations in this </w:t>
      </w:r>
      <w:proofErr w:type="gramStart"/>
      <w:r w:rsidRPr="00BC5B65">
        <w:t>Agreement;</w:t>
      </w:r>
      <w:proofErr w:type="gramEnd"/>
    </w:p>
    <w:p w14:paraId="168DE88E" w14:textId="77777777" w:rsidR="00BC5B65" w:rsidRPr="00BC5B65" w:rsidRDefault="00BC5B65" w:rsidP="00BC5B65">
      <w:pPr>
        <w:numPr>
          <w:ilvl w:val="0"/>
          <w:numId w:val="29"/>
        </w:numPr>
      </w:pPr>
      <w:r w:rsidRPr="00BC5B65">
        <w:rPr>
          <w:b/>
          <w:bCs/>
        </w:rPr>
        <w:t>Not use the Confidential Information</w:t>
      </w:r>
      <w:r w:rsidRPr="00BC5B65">
        <w:t xml:space="preserve"> for any purpose other than evaluating and facilitating the Transaction, including but not limited to, gaining a competitive advantage or for any commercial or operational purpose.</w:t>
      </w:r>
    </w:p>
    <w:p w14:paraId="5D1F50D9" w14:textId="77777777" w:rsidR="00BC5B65" w:rsidRPr="00BC5B65" w:rsidRDefault="00000000" w:rsidP="00BC5B65">
      <w:r>
        <w:pict w14:anchorId="30A36524">
          <v:rect id="_x0000_i1033" style="width:0;height:1.5pt" o:hralign="center" o:hrstd="t" o:hr="t" fillcolor="#a0a0a0" stroked="f"/>
        </w:pict>
      </w:r>
    </w:p>
    <w:p w14:paraId="156D76B1" w14:textId="77777777" w:rsidR="00BC5B65" w:rsidRPr="00BC5B65" w:rsidRDefault="00BC5B65" w:rsidP="00BC5B65">
      <w:pPr>
        <w:rPr>
          <w:b/>
          <w:bCs/>
        </w:rPr>
      </w:pPr>
      <w:r w:rsidRPr="00BC5B65">
        <w:rPr>
          <w:b/>
          <w:bCs/>
        </w:rPr>
        <w:t>4. Legally Required Disclosure</w:t>
      </w:r>
    </w:p>
    <w:p w14:paraId="236F2052" w14:textId="77777777" w:rsidR="00BC5B65" w:rsidRPr="00BC5B65" w:rsidRDefault="00BC5B65" w:rsidP="00BC5B65">
      <w:r w:rsidRPr="00BC5B65">
        <w:t>If Recipient is legally required (by deposition, interrogatory, request for documents, subpoena, civil investigative demand, or similar process) to disclose any Confidential Information, it shall:</w:t>
      </w:r>
    </w:p>
    <w:p w14:paraId="7937B038" w14:textId="77777777" w:rsidR="00BC5B65" w:rsidRPr="00BC5B65" w:rsidRDefault="00BC5B65" w:rsidP="00BC5B65">
      <w:pPr>
        <w:numPr>
          <w:ilvl w:val="0"/>
          <w:numId w:val="30"/>
        </w:numPr>
      </w:pPr>
      <w:r w:rsidRPr="00BC5B65">
        <w:t xml:space="preserve">Promptly notify Disclosing Party in writing of such requirement, to the extent legally permissible, so that Disclosing Party may seek a protective order or other </w:t>
      </w:r>
      <w:proofErr w:type="gramStart"/>
      <w:r w:rsidRPr="00BC5B65">
        <w:t>remedy;</w:t>
      </w:r>
      <w:proofErr w:type="gramEnd"/>
    </w:p>
    <w:p w14:paraId="68704AA7" w14:textId="77777777" w:rsidR="00BC5B65" w:rsidRPr="00BC5B65" w:rsidRDefault="00BC5B65" w:rsidP="00BC5B65">
      <w:pPr>
        <w:numPr>
          <w:ilvl w:val="0"/>
          <w:numId w:val="30"/>
        </w:numPr>
      </w:pPr>
      <w:r w:rsidRPr="00BC5B65">
        <w:lastRenderedPageBreak/>
        <w:t xml:space="preserve">Cooperate with Disclosing Party, at Disclosing Party’s expense, in its efforts to seek any protective order or other </w:t>
      </w:r>
      <w:proofErr w:type="gramStart"/>
      <w:r w:rsidRPr="00BC5B65">
        <w:t>remedy;</w:t>
      </w:r>
      <w:proofErr w:type="gramEnd"/>
    </w:p>
    <w:p w14:paraId="36ECE1AE" w14:textId="77777777" w:rsidR="00BC5B65" w:rsidRPr="00BC5B65" w:rsidRDefault="00BC5B65" w:rsidP="00BC5B65">
      <w:pPr>
        <w:numPr>
          <w:ilvl w:val="0"/>
          <w:numId w:val="30"/>
        </w:numPr>
      </w:pPr>
      <w:r w:rsidRPr="00BC5B65">
        <w:t>Disclose only that portion of Confidential Information which, upon advice of counsel, is legally required to be disclosed.</w:t>
      </w:r>
    </w:p>
    <w:p w14:paraId="389A911A" w14:textId="77777777" w:rsidR="00BC5B65" w:rsidRPr="00BC5B65" w:rsidRDefault="00000000" w:rsidP="00BC5B65">
      <w:r>
        <w:pict w14:anchorId="076BF684">
          <v:rect id="_x0000_i1034" style="width:0;height:1.5pt" o:hralign="center" o:hrstd="t" o:hr="t" fillcolor="#a0a0a0" stroked="f"/>
        </w:pict>
      </w:r>
    </w:p>
    <w:p w14:paraId="1CBD5176" w14:textId="77777777" w:rsidR="00BC5B65" w:rsidRPr="00BC5B65" w:rsidRDefault="00BC5B65" w:rsidP="00BC5B65">
      <w:pPr>
        <w:rPr>
          <w:b/>
          <w:bCs/>
        </w:rPr>
      </w:pPr>
      <w:r w:rsidRPr="00BC5B65">
        <w:rPr>
          <w:b/>
          <w:bCs/>
        </w:rPr>
        <w:t>5. Return or Destruction of Confidential Information</w:t>
      </w:r>
    </w:p>
    <w:p w14:paraId="25EAEC7E" w14:textId="77777777" w:rsidR="00BC5B65" w:rsidRPr="00BC5B65" w:rsidRDefault="00BC5B65" w:rsidP="00BC5B65">
      <w:r w:rsidRPr="00BC5B65">
        <w:t>Upon conclusion of the Transaction discussions, or upon written request by Disclosing Party, Recipient shall:</w:t>
      </w:r>
    </w:p>
    <w:p w14:paraId="407F6255" w14:textId="77777777" w:rsidR="00BC5B65" w:rsidRPr="00BC5B65" w:rsidRDefault="00BC5B65" w:rsidP="00BC5B65">
      <w:pPr>
        <w:numPr>
          <w:ilvl w:val="0"/>
          <w:numId w:val="31"/>
        </w:numPr>
      </w:pPr>
      <w:r w:rsidRPr="00BC5B65">
        <w:t xml:space="preserve">Promptly return or destroy all documents, electronic files, and other media containing Confidential Information, including any copies </w:t>
      </w:r>
      <w:proofErr w:type="gramStart"/>
      <w:r w:rsidRPr="00BC5B65">
        <w:t>thereof;</w:t>
      </w:r>
      <w:proofErr w:type="gramEnd"/>
    </w:p>
    <w:p w14:paraId="71EC386F" w14:textId="77777777" w:rsidR="00BC5B65" w:rsidRPr="00BC5B65" w:rsidRDefault="00BC5B65" w:rsidP="00BC5B65">
      <w:pPr>
        <w:numPr>
          <w:ilvl w:val="0"/>
          <w:numId w:val="31"/>
        </w:numPr>
      </w:pPr>
      <w:r w:rsidRPr="00BC5B65">
        <w:t xml:space="preserve">Certify in writing that such information has been destroyed, if </w:t>
      </w:r>
      <w:proofErr w:type="gramStart"/>
      <w:r w:rsidRPr="00BC5B65">
        <w:t>so</w:t>
      </w:r>
      <w:proofErr w:type="gramEnd"/>
      <w:r w:rsidRPr="00BC5B65">
        <w:t xml:space="preserve"> requested by Disclosing Party;</w:t>
      </w:r>
    </w:p>
    <w:p w14:paraId="0E3DE733" w14:textId="77777777" w:rsidR="00BC5B65" w:rsidRPr="00BC5B65" w:rsidRDefault="00BC5B65" w:rsidP="00BC5B65">
      <w:pPr>
        <w:numPr>
          <w:ilvl w:val="0"/>
          <w:numId w:val="31"/>
        </w:numPr>
      </w:pPr>
      <w:r w:rsidRPr="00BC5B65">
        <w:t>Retain only that portion of the Confidential Information that is required to comply with any applicable legal, regulatory, or internal record-keeping requirements, with the understanding that all retained information shall remain confidential.</w:t>
      </w:r>
    </w:p>
    <w:p w14:paraId="77DB4027" w14:textId="77777777" w:rsidR="00BC5B65" w:rsidRPr="00BC5B65" w:rsidRDefault="00000000" w:rsidP="00BC5B65">
      <w:r>
        <w:pict w14:anchorId="53DCD0A9">
          <v:rect id="_x0000_i1035" style="width:0;height:1.5pt" o:hralign="center" o:hrstd="t" o:hr="t" fillcolor="#a0a0a0" stroked="f"/>
        </w:pict>
      </w:r>
    </w:p>
    <w:p w14:paraId="313913F3" w14:textId="77777777" w:rsidR="00BC5B65" w:rsidRPr="00BC5B65" w:rsidRDefault="00BC5B65" w:rsidP="00BC5B65">
      <w:pPr>
        <w:rPr>
          <w:b/>
          <w:bCs/>
        </w:rPr>
      </w:pPr>
      <w:r w:rsidRPr="00BC5B65">
        <w:rPr>
          <w:b/>
          <w:bCs/>
        </w:rPr>
        <w:t>6. Term of Confidentiality</w:t>
      </w:r>
    </w:p>
    <w:p w14:paraId="75BF2DD0" w14:textId="77777777" w:rsidR="00BC5B65" w:rsidRPr="00BC5B65" w:rsidRDefault="00BC5B65" w:rsidP="00BC5B65">
      <w:r w:rsidRPr="00BC5B65">
        <w:t>This Agreement shall commence on the Effective Date and remain in effect for a period of two (2) years. However, Recipient’s obligations with respect to any trade secrets of Disclosing Party shall remain in effect for as long as such information qualifies as a trade secret under applicable law.</w:t>
      </w:r>
    </w:p>
    <w:p w14:paraId="424D6AEA" w14:textId="77777777" w:rsidR="00BC5B65" w:rsidRPr="00BC5B65" w:rsidRDefault="00000000" w:rsidP="00BC5B65">
      <w:r>
        <w:pict w14:anchorId="593DD1C3">
          <v:rect id="_x0000_i1036" style="width:0;height:1.5pt" o:hralign="center" o:hrstd="t" o:hr="t" fillcolor="#a0a0a0" stroked="f"/>
        </w:pict>
      </w:r>
    </w:p>
    <w:p w14:paraId="2F0B71A5" w14:textId="77777777" w:rsidR="00BC5B65" w:rsidRPr="00BC5B65" w:rsidRDefault="00BC5B65" w:rsidP="00BC5B65">
      <w:pPr>
        <w:rPr>
          <w:b/>
          <w:bCs/>
        </w:rPr>
      </w:pPr>
      <w:r w:rsidRPr="00BC5B65">
        <w:rPr>
          <w:b/>
          <w:bCs/>
        </w:rPr>
        <w:t>7. Non-Circumvention and Non-Solicitation</w:t>
      </w:r>
    </w:p>
    <w:p w14:paraId="65138A3A" w14:textId="77777777" w:rsidR="00BC5B65" w:rsidRPr="00BC5B65" w:rsidRDefault="00BC5B65" w:rsidP="00BC5B65">
      <w:r w:rsidRPr="00BC5B65">
        <w:t>During the term of this Agreement and for a period of twelve (12) months following the termination of this Agreement, without prior written consent of Disclosing Party, Recipient shall not:</w:t>
      </w:r>
    </w:p>
    <w:p w14:paraId="39AAB142" w14:textId="77777777" w:rsidR="00BC5B65" w:rsidRPr="00BC5B65" w:rsidRDefault="00BC5B65" w:rsidP="00BC5B65">
      <w:pPr>
        <w:numPr>
          <w:ilvl w:val="0"/>
          <w:numId w:val="32"/>
        </w:numPr>
      </w:pPr>
      <w:r w:rsidRPr="00BC5B65">
        <w:t xml:space="preserve">Directly or indirectly solicit or attempt to hire any employee of Disclosing Party involved in the </w:t>
      </w:r>
      <w:proofErr w:type="gramStart"/>
      <w:r w:rsidRPr="00BC5B65">
        <w:t>Transaction;</w:t>
      </w:r>
      <w:proofErr w:type="gramEnd"/>
    </w:p>
    <w:p w14:paraId="645EF0D0" w14:textId="77777777" w:rsidR="00BC5B65" w:rsidRPr="00BC5B65" w:rsidRDefault="00BC5B65" w:rsidP="00BC5B65">
      <w:pPr>
        <w:numPr>
          <w:ilvl w:val="0"/>
          <w:numId w:val="32"/>
        </w:numPr>
      </w:pPr>
      <w:r w:rsidRPr="00BC5B65">
        <w:t xml:space="preserve">Solicit or attempt to gain the business of any clients, customers, or contacts introduced during the course of the Transaction, except through standard, publicly available </w:t>
      </w:r>
      <w:proofErr w:type="gramStart"/>
      <w:r w:rsidRPr="00BC5B65">
        <w:t>channels;</w:t>
      </w:r>
      <w:proofErr w:type="gramEnd"/>
    </w:p>
    <w:p w14:paraId="2949527A" w14:textId="77777777" w:rsidR="00BC5B65" w:rsidRPr="00BC5B65" w:rsidRDefault="00BC5B65" w:rsidP="00BC5B65">
      <w:pPr>
        <w:numPr>
          <w:ilvl w:val="0"/>
          <w:numId w:val="32"/>
        </w:numPr>
      </w:pPr>
      <w:r w:rsidRPr="00BC5B65">
        <w:t>Engage in any transaction with parties introduced by Disclosing Party for purposes of the Transaction without prior approval from Disclosing Party.</w:t>
      </w:r>
    </w:p>
    <w:p w14:paraId="7CEDCFE8" w14:textId="77777777" w:rsidR="00BC5B65" w:rsidRPr="00BC5B65" w:rsidRDefault="00000000" w:rsidP="00BC5B65">
      <w:r>
        <w:lastRenderedPageBreak/>
        <w:pict w14:anchorId="33A51509">
          <v:rect id="_x0000_i1037" style="width:0;height:1.5pt" o:hralign="center" o:hrstd="t" o:hr="t" fillcolor="#a0a0a0" stroked="f"/>
        </w:pict>
      </w:r>
    </w:p>
    <w:p w14:paraId="4A4E0352" w14:textId="77777777" w:rsidR="00BC5B65" w:rsidRPr="00BC5B65" w:rsidRDefault="00BC5B65" w:rsidP="00BC5B65">
      <w:pPr>
        <w:rPr>
          <w:b/>
          <w:bCs/>
        </w:rPr>
      </w:pPr>
      <w:r w:rsidRPr="00BC5B65">
        <w:rPr>
          <w:b/>
          <w:bCs/>
        </w:rPr>
        <w:t>8. No Transfer of Ownership Rights</w:t>
      </w:r>
    </w:p>
    <w:p w14:paraId="2DE24D5D" w14:textId="77777777" w:rsidR="00BC5B65" w:rsidRPr="00BC5B65" w:rsidRDefault="00BC5B65" w:rsidP="00BC5B65">
      <w:r w:rsidRPr="00BC5B65">
        <w:t>Nothing in this Agreement shall be construed as granting Recipient any rights, title, or interest in or to any Confidential Information disclosed by Disclosing Party. All Confidential Information shall remain the exclusive property of Disclosing Party.</w:t>
      </w:r>
    </w:p>
    <w:p w14:paraId="5DBEA3D4" w14:textId="77777777" w:rsidR="00BC5B65" w:rsidRPr="00BC5B65" w:rsidRDefault="00000000" w:rsidP="00BC5B65">
      <w:r>
        <w:pict w14:anchorId="5F24C306">
          <v:rect id="_x0000_i1038" style="width:0;height:1.5pt" o:hralign="center" o:hrstd="t" o:hr="t" fillcolor="#a0a0a0" stroked="f"/>
        </w:pict>
      </w:r>
    </w:p>
    <w:p w14:paraId="759FDAF2" w14:textId="77777777" w:rsidR="00BC5B65" w:rsidRPr="00BC5B65" w:rsidRDefault="00BC5B65" w:rsidP="00BC5B65">
      <w:pPr>
        <w:rPr>
          <w:b/>
          <w:bCs/>
        </w:rPr>
      </w:pPr>
      <w:r w:rsidRPr="00BC5B65">
        <w:rPr>
          <w:b/>
          <w:bCs/>
        </w:rPr>
        <w:t>9. Remedies for Breach</w:t>
      </w:r>
    </w:p>
    <w:p w14:paraId="109F7B71" w14:textId="77777777" w:rsidR="00BC5B65" w:rsidRPr="00BC5B65" w:rsidRDefault="00BC5B65" w:rsidP="00BC5B65">
      <w:r w:rsidRPr="00BC5B65">
        <w:t>Recipient acknowledges that a breach of this Agreement could result in irreparable harm to Disclosing Party for which money damages may not be an adequate remedy. Accordingly, Disclosing Party shall be entitled to seek injunctive relief, specific performance, or other equitable remedies for any breach or threatened breach of this Agreement, in addition to any other legal remedies available.</w:t>
      </w:r>
    </w:p>
    <w:p w14:paraId="514F458A" w14:textId="77777777" w:rsidR="00BC5B65" w:rsidRPr="00BC5B65" w:rsidRDefault="00000000" w:rsidP="00BC5B65">
      <w:r>
        <w:pict w14:anchorId="205AA555">
          <v:rect id="_x0000_i1039" style="width:0;height:1.5pt" o:hralign="center" o:hrstd="t" o:hr="t" fillcolor="#a0a0a0" stroked="f"/>
        </w:pict>
      </w:r>
    </w:p>
    <w:p w14:paraId="692B8E68" w14:textId="77777777" w:rsidR="00BC5B65" w:rsidRPr="00BC5B65" w:rsidRDefault="00BC5B65" w:rsidP="00BC5B65">
      <w:pPr>
        <w:rPr>
          <w:b/>
          <w:bCs/>
        </w:rPr>
      </w:pPr>
      <w:r w:rsidRPr="00BC5B65">
        <w:rPr>
          <w:b/>
          <w:bCs/>
        </w:rPr>
        <w:t>10. Governing Law and Jurisdiction</w:t>
      </w:r>
    </w:p>
    <w:p w14:paraId="47030C5D" w14:textId="77777777" w:rsidR="00BC5B65" w:rsidRPr="00BC5B65" w:rsidRDefault="00BC5B65" w:rsidP="00BC5B65">
      <w:r w:rsidRPr="00BC5B65">
        <w:t>This Agreement shall be governed by and construed in accordance with the laws of the State of Delaware, without regard to its conflict of laws principles. Any disputes arising out of or in connection with this Agreement shall be subject to the exclusive jurisdiction of the courts of the State of Delaware.</w:t>
      </w:r>
    </w:p>
    <w:p w14:paraId="5AFE2ACB" w14:textId="77777777" w:rsidR="00BC5B65" w:rsidRPr="00BC5B65" w:rsidRDefault="00000000" w:rsidP="00BC5B65">
      <w:r>
        <w:pict w14:anchorId="508573C9">
          <v:rect id="_x0000_i1040" style="width:0;height:1.5pt" o:hralign="center" o:hrstd="t" o:hr="t" fillcolor="#a0a0a0" stroked="f"/>
        </w:pict>
      </w:r>
    </w:p>
    <w:p w14:paraId="63BC93DF" w14:textId="77777777" w:rsidR="00BC5B65" w:rsidRPr="00BC5B65" w:rsidRDefault="00BC5B65" w:rsidP="00BC5B65">
      <w:pPr>
        <w:rPr>
          <w:b/>
          <w:bCs/>
        </w:rPr>
      </w:pPr>
      <w:r w:rsidRPr="00BC5B65">
        <w:rPr>
          <w:b/>
          <w:bCs/>
        </w:rPr>
        <w:t>11. Miscellaneous</w:t>
      </w:r>
    </w:p>
    <w:p w14:paraId="5481C1F4" w14:textId="77777777" w:rsidR="00BC5B65" w:rsidRPr="00BC5B65" w:rsidRDefault="00BC5B65" w:rsidP="00BC5B65">
      <w:pPr>
        <w:numPr>
          <w:ilvl w:val="0"/>
          <w:numId w:val="33"/>
        </w:numPr>
      </w:pPr>
      <w:r w:rsidRPr="00BC5B65">
        <w:rPr>
          <w:b/>
          <w:bCs/>
        </w:rPr>
        <w:t>Entire Agreement</w:t>
      </w:r>
      <w:r w:rsidRPr="00BC5B65">
        <w:t>: This Agreement constitutes the entire agreement between the Parties with respect to its subject matter and supersedes any prior agreements or understandings.</w:t>
      </w:r>
    </w:p>
    <w:p w14:paraId="10FA95B8" w14:textId="77777777" w:rsidR="00BC5B65" w:rsidRPr="00BC5B65" w:rsidRDefault="00BC5B65" w:rsidP="00BC5B65">
      <w:pPr>
        <w:numPr>
          <w:ilvl w:val="0"/>
          <w:numId w:val="33"/>
        </w:numPr>
      </w:pPr>
      <w:r w:rsidRPr="00BC5B65">
        <w:rPr>
          <w:b/>
          <w:bCs/>
        </w:rPr>
        <w:t>Amendment</w:t>
      </w:r>
      <w:r w:rsidRPr="00BC5B65">
        <w:t>: Any amendment to this Agreement must be in writing and signed by both Parties.</w:t>
      </w:r>
    </w:p>
    <w:p w14:paraId="784E72C8" w14:textId="77777777" w:rsidR="00BC5B65" w:rsidRPr="00BC5B65" w:rsidRDefault="00BC5B65" w:rsidP="00BC5B65">
      <w:pPr>
        <w:numPr>
          <w:ilvl w:val="0"/>
          <w:numId w:val="33"/>
        </w:numPr>
      </w:pPr>
      <w:r w:rsidRPr="00BC5B65">
        <w:rPr>
          <w:b/>
          <w:bCs/>
        </w:rPr>
        <w:t>Assignment</w:t>
      </w:r>
      <w:r w:rsidRPr="00BC5B65">
        <w:t>: Neither Party may assign this Agreement without the prior written consent of the other Party.</w:t>
      </w:r>
    </w:p>
    <w:p w14:paraId="749652AC" w14:textId="77777777" w:rsidR="00BC5B65" w:rsidRPr="00BC5B65" w:rsidRDefault="00BC5B65" w:rsidP="00BC5B65">
      <w:pPr>
        <w:numPr>
          <w:ilvl w:val="0"/>
          <w:numId w:val="33"/>
        </w:numPr>
      </w:pPr>
      <w:r w:rsidRPr="00BC5B65">
        <w:rPr>
          <w:b/>
          <w:bCs/>
        </w:rPr>
        <w:t>Waiver</w:t>
      </w:r>
      <w:r w:rsidRPr="00BC5B65">
        <w:t>: No waiver of any breach of this Agreement shall be deemed a waiver of any future breach of the same or any other provision.</w:t>
      </w:r>
    </w:p>
    <w:p w14:paraId="45EE7F9A" w14:textId="77777777" w:rsidR="00BC5B65" w:rsidRPr="00BC5B65" w:rsidRDefault="00000000" w:rsidP="00BC5B65">
      <w:r>
        <w:pict w14:anchorId="2AB7D1EB">
          <v:rect id="_x0000_i1041" style="width:0;height:1.5pt" o:hralign="center" o:hrstd="t" o:hr="t" fillcolor="#a0a0a0" stroked="f"/>
        </w:pict>
      </w:r>
    </w:p>
    <w:p w14:paraId="69A21F2B" w14:textId="77777777" w:rsidR="00BC5B65" w:rsidRPr="00BC5B65" w:rsidRDefault="00BC5B65" w:rsidP="00BC5B65">
      <w:pPr>
        <w:rPr>
          <w:b/>
          <w:bCs/>
        </w:rPr>
      </w:pPr>
      <w:r w:rsidRPr="00BC5B65">
        <w:rPr>
          <w:b/>
          <w:bCs/>
        </w:rPr>
        <w:t>IN WITNESS WHEREOF, the Parties have executed this Confidentiality and Non-Disclosure Agreement as of the Effective Date first written above.</w:t>
      </w:r>
    </w:p>
    <w:p w14:paraId="0B92A7DD" w14:textId="120DD132" w:rsidR="00BC5B65" w:rsidRPr="00BC5B65" w:rsidRDefault="00084267" w:rsidP="00BC5B65">
      <w:hyperlink r:id="rId16" w:history="1">
        <w:r w:rsidR="00BC5B65" w:rsidRPr="00084267">
          <w:rPr>
            <w:rStyle w:val="Hyperlink"/>
            <w:b/>
            <w:bCs/>
          </w:rPr>
          <w:t>Private Equity Bro</w:t>
        </w:r>
      </w:hyperlink>
      <w:r w:rsidR="00BC5B65" w:rsidRPr="00BC5B65">
        <w:br/>
        <w:t>By: __________________________</w:t>
      </w:r>
      <w:r w:rsidR="00BC5B65" w:rsidRPr="00BC5B65">
        <w:br/>
        <w:t>Name: [Authorized Signatory]</w:t>
      </w:r>
      <w:r w:rsidR="00BC5B65" w:rsidRPr="00BC5B65">
        <w:br/>
        <w:t>Title: ________________________</w:t>
      </w:r>
      <w:r w:rsidR="00BC5B65" w:rsidRPr="00BC5B65">
        <w:br/>
        <w:t>Date: _________________________</w:t>
      </w:r>
    </w:p>
    <w:p w14:paraId="143E8AB3" w14:textId="55A7BD02" w:rsidR="00BC5B65" w:rsidRPr="00BC5B65" w:rsidRDefault="00084267" w:rsidP="00BC5B65">
      <w:r>
        <w:rPr>
          <w:b/>
          <w:bCs/>
        </w:rPr>
        <w:t xml:space="preserve">ABC </w:t>
      </w:r>
      <w:r w:rsidR="00BC5B65" w:rsidRPr="00BC5B65">
        <w:rPr>
          <w:b/>
          <w:bCs/>
        </w:rPr>
        <w:t>Capital Inc.</w:t>
      </w:r>
      <w:r w:rsidR="00BC5B65" w:rsidRPr="00BC5B65">
        <w:br/>
        <w:t>By: __________________________</w:t>
      </w:r>
      <w:r w:rsidR="00BC5B65" w:rsidRPr="00BC5B65">
        <w:br/>
        <w:t>Name: [Authorized Signatory]</w:t>
      </w:r>
      <w:r w:rsidR="00BC5B65" w:rsidRPr="00BC5B65">
        <w:br/>
        <w:t>Title: ________________________</w:t>
      </w:r>
      <w:r w:rsidR="00BC5B65" w:rsidRPr="00BC5B65">
        <w:br/>
        <w:t>Date: _________________________</w:t>
      </w:r>
    </w:p>
    <w:p w14:paraId="1CFDB72B" w14:textId="0EDC53B9" w:rsidR="003F54B3" w:rsidRDefault="003F54B3">
      <w:r>
        <w:br w:type="page"/>
      </w:r>
    </w:p>
    <w:p w14:paraId="3584AA3D" w14:textId="614BBC51" w:rsidR="00BC5B65" w:rsidRDefault="003F54B3">
      <w:pPr>
        <w:rPr>
          <w:b/>
          <w:bCs/>
          <w:u w:val="single"/>
        </w:rPr>
      </w:pPr>
      <w:r w:rsidRPr="003F54B3">
        <w:rPr>
          <w:b/>
          <w:bCs/>
          <w:u w:val="single"/>
        </w:rPr>
        <w:lastRenderedPageBreak/>
        <w:t>Template – Walk-through</w:t>
      </w:r>
    </w:p>
    <w:p w14:paraId="2160315B" w14:textId="77777777" w:rsidR="00894CD6" w:rsidRPr="00894CD6" w:rsidRDefault="00894CD6" w:rsidP="00894CD6">
      <w:pPr>
        <w:rPr>
          <w:b/>
          <w:bCs/>
        </w:rPr>
      </w:pPr>
      <w:r w:rsidRPr="00894CD6">
        <w:rPr>
          <w:b/>
          <w:bCs/>
        </w:rPr>
        <w:t>Introduction</w:t>
      </w:r>
    </w:p>
    <w:p w14:paraId="023500F0" w14:textId="77777777" w:rsidR="00D02FE7" w:rsidRDefault="00894CD6" w:rsidP="00894CD6">
      <w:r w:rsidRPr="00894CD6">
        <w:t xml:space="preserve">The introduction sets the stage, clarifying the NDA’s purpose: to facilitate confidential discussions about a potential transaction between </w:t>
      </w:r>
      <w:hyperlink r:id="rId17" w:history="1">
        <w:r w:rsidRPr="00084267">
          <w:rPr>
            <w:rStyle w:val="Hyperlink"/>
            <w:b/>
            <w:bCs/>
          </w:rPr>
          <w:t>Private Equity Bro</w:t>
        </w:r>
      </w:hyperlink>
      <w:r w:rsidRPr="00894CD6">
        <w:t xml:space="preserve"> and </w:t>
      </w:r>
      <w:r w:rsidR="00084267">
        <w:rPr>
          <w:b/>
          <w:bCs/>
        </w:rPr>
        <w:t>ABC Capital Inc</w:t>
      </w:r>
      <w:r w:rsidRPr="00894CD6">
        <w:rPr>
          <w:b/>
          <w:bCs/>
        </w:rPr>
        <w:t>.</w:t>
      </w:r>
    </w:p>
    <w:p w14:paraId="02523153" w14:textId="1EDC3DA1" w:rsidR="00894CD6" w:rsidRPr="00894CD6" w:rsidRDefault="00894CD6" w:rsidP="00894CD6">
      <w:r w:rsidRPr="00894CD6">
        <w:t>Here, the purpose and intentions are outlined, underscoring that the Parties will exchange sensitive information that needs safeguarding. This section frames the agreement as a means of protecting proprietary data and establishing trust early in the process.</w:t>
      </w:r>
    </w:p>
    <w:p w14:paraId="263AF8A6" w14:textId="77777777" w:rsidR="00894CD6" w:rsidRPr="00894CD6" w:rsidRDefault="00000000" w:rsidP="00894CD6">
      <w:r>
        <w:pict w14:anchorId="17E9E6AC">
          <v:rect id="_x0000_i1042" style="width:0;height:1.5pt" o:hralign="center" o:hrstd="t" o:hr="t" fillcolor="#a0a0a0" stroked="f"/>
        </w:pict>
      </w:r>
    </w:p>
    <w:p w14:paraId="3F61B453" w14:textId="77777777" w:rsidR="00894CD6" w:rsidRPr="00894CD6" w:rsidRDefault="00894CD6" w:rsidP="00894CD6">
      <w:pPr>
        <w:rPr>
          <w:b/>
          <w:bCs/>
        </w:rPr>
      </w:pPr>
      <w:r w:rsidRPr="00894CD6">
        <w:rPr>
          <w:b/>
          <w:bCs/>
        </w:rPr>
        <w:t>1. Definition of Confidential Information</w:t>
      </w:r>
    </w:p>
    <w:p w14:paraId="224FB197" w14:textId="77777777" w:rsidR="00894CD6" w:rsidRPr="00894CD6" w:rsidRDefault="00894CD6" w:rsidP="00894CD6">
      <w:r w:rsidRPr="00894CD6">
        <w:rPr>
          <w:b/>
          <w:bCs/>
        </w:rPr>
        <w:t>Purpose</w:t>
      </w:r>
      <w:r w:rsidRPr="00894CD6">
        <w:t>: This is the foundation of the NDA, defining precisely what information is considered “Confidential Information.” Without this definition, enforcing the agreement could become complicated.</w:t>
      </w:r>
    </w:p>
    <w:p w14:paraId="665CB4BC" w14:textId="3B5F723A" w:rsidR="00894CD6" w:rsidRPr="00894CD6" w:rsidRDefault="00894CD6" w:rsidP="00894CD6">
      <w:r w:rsidRPr="00894CD6">
        <w:rPr>
          <w:b/>
          <w:bCs/>
        </w:rPr>
        <w:t>What It Covers</w:t>
      </w:r>
      <w:r w:rsidRPr="00894CD6">
        <w:t xml:space="preserve">: This section lists typical types of confidential data that both parties might share during the transaction. Categories include financial records, operational strategies, intellectual property, customer details, and any other information that is sensitive or proprietary to </w:t>
      </w:r>
      <w:hyperlink r:id="rId18" w:history="1">
        <w:r w:rsidRPr="00084267">
          <w:rPr>
            <w:rStyle w:val="Hyperlink"/>
          </w:rPr>
          <w:t>Private Equity Bro</w:t>
        </w:r>
      </w:hyperlink>
      <w:r w:rsidRPr="00894CD6">
        <w:t>. The last bullet point even includes any summaries or notes derived from this information, making it clear that not just original documents but also any generated analyses are protected.</w:t>
      </w:r>
    </w:p>
    <w:p w14:paraId="0D8E8A0F" w14:textId="77777777" w:rsidR="00894CD6" w:rsidRPr="00894CD6" w:rsidRDefault="00894CD6" w:rsidP="00894CD6">
      <w:r w:rsidRPr="00894CD6">
        <w:rPr>
          <w:b/>
          <w:bCs/>
        </w:rPr>
        <w:t>Practical Note</w:t>
      </w:r>
      <w:r w:rsidRPr="00894CD6">
        <w:t>: Being specific about categories like “customer data” or “financial records” gives clarity without having to list each document individually. It’s broad enough to cover a wide range of documents but focused enough to avoid ambiguity.</w:t>
      </w:r>
    </w:p>
    <w:p w14:paraId="30531B4C" w14:textId="77777777" w:rsidR="00894CD6" w:rsidRPr="00894CD6" w:rsidRDefault="00000000" w:rsidP="00894CD6">
      <w:r>
        <w:pict w14:anchorId="03430EA2">
          <v:rect id="_x0000_i1043" style="width:0;height:1.5pt" o:hralign="center" o:hrstd="t" o:hr="t" fillcolor="#a0a0a0" stroked="f"/>
        </w:pict>
      </w:r>
    </w:p>
    <w:p w14:paraId="7F4AEEC6" w14:textId="77777777" w:rsidR="00894CD6" w:rsidRPr="00894CD6" w:rsidRDefault="00894CD6" w:rsidP="00894CD6">
      <w:pPr>
        <w:rPr>
          <w:b/>
          <w:bCs/>
        </w:rPr>
      </w:pPr>
      <w:r w:rsidRPr="00894CD6">
        <w:rPr>
          <w:b/>
          <w:bCs/>
        </w:rPr>
        <w:t>2. Exclusions from Confidential Information</w:t>
      </w:r>
    </w:p>
    <w:p w14:paraId="78B71CA9" w14:textId="140E7205" w:rsidR="00894CD6" w:rsidRPr="00894CD6" w:rsidRDefault="00894CD6" w:rsidP="00894CD6">
      <w:r w:rsidRPr="00894CD6">
        <w:rPr>
          <w:b/>
          <w:bCs/>
        </w:rPr>
        <w:t>Purpose</w:t>
      </w:r>
      <w:r w:rsidRPr="00894CD6">
        <w:t>: This section prevents certain types of information from being classified as confidential, keeping the NDA realistic and enforceable. Not every piece of information shared should or can remain confidential</w:t>
      </w:r>
      <w:r w:rsidR="00D02FE7">
        <w:t xml:space="preserve"> </w:t>
      </w:r>
      <w:r w:rsidRPr="00894CD6">
        <w:t>—</w:t>
      </w:r>
      <w:r w:rsidR="00D02FE7">
        <w:t xml:space="preserve"> </w:t>
      </w:r>
      <w:r w:rsidRPr="00894CD6">
        <w:t>such as data that’s already public or knowledge that the recipient had independently.</w:t>
      </w:r>
    </w:p>
    <w:p w14:paraId="23D36D9E" w14:textId="77777777" w:rsidR="00894CD6" w:rsidRPr="00894CD6" w:rsidRDefault="00894CD6" w:rsidP="00894CD6">
      <w:r w:rsidRPr="00894CD6">
        <w:rPr>
          <w:b/>
          <w:bCs/>
        </w:rPr>
        <w:t>What It Covers</w:t>
      </w:r>
      <w:r w:rsidRPr="00894CD6">
        <w:t>:</w:t>
      </w:r>
    </w:p>
    <w:p w14:paraId="0121015F" w14:textId="77777777" w:rsidR="00894CD6" w:rsidRPr="00894CD6" w:rsidRDefault="00894CD6" w:rsidP="00894CD6">
      <w:pPr>
        <w:numPr>
          <w:ilvl w:val="0"/>
          <w:numId w:val="34"/>
        </w:numPr>
      </w:pPr>
      <w:r w:rsidRPr="00894CD6">
        <w:rPr>
          <w:b/>
          <w:bCs/>
        </w:rPr>
        <w:t>Public Information</w:t>
      </w:r>
      <w:r w:rsidRPr="00894CD6">
        <w:t>: Any data that’s already available to the public doesn’t fall under confidentiality, as it’s no longer proprietary.</w:t>
      </w:r>
    </w:p>
    <w:p w14:paraId="6A3E4B1D" w14:textId="18AE1113" w:rsidR="00894CD6" w:rsidRPr="00894CD6" w:rsidRDefault="00894CD6" w:rsidP="00894CD6">
      <w:pPr>
        <w:numPr>
          <w:ilvl w:val="0"/>
          <w:numId w:val="34"/>
        </w:numPr>
      </w:pPr>
      <w:r w:rsidRPr="00894CD6">
        <w:rPr>
          <w:b/>
          <w:bCs/>
        </w:rPr>
        <w:t>Pre-existing Knowledge</w:t>
      </w:r>
      <w:r w:rsidRPr="00894CD6">
        <w:t xml:space="preserve">: Information that </w:t>
      </w:r>
      <w:r w:rsidR="00084267">
        <w:t xml:space="preserve">ABC </w:t>
      </w:r>
      <w:r w:rsidRPr="00894CD6">
        <w:t>Capital already possesses (with proof) is excluded to avoid redundancy.</w:t>
      </w:r>
    </w:p>
    <w:p w14:paraId="72D47AD0" w14:textId="5FF14B16" w:rsidR="00894CD6" w:rsidRPr="00894CD6" w:rsidRDefault="00894CD6" w:rsidP="00894CD6">
      <w:pPr>
        <w:numPr>
          <w:ilvl w:val="0"/>
          <w:numId w:val="34"/>
        </w:numPr>
      </w:pPr>
      <w:r w:rsidRPr="00894CD6">
        <w:rPr>
          <w:b/>
          <w:bCs/>
        </w:rPr>
        <w:lastRenderedPageBreak/>
        <w:t>Third-Party Sources</w:t>
      </w:r>
      <w:r w:rsidRPr="00894CD6">
        <w:t xml:space="preserve">: If </w:t>
      </w:r>
      <w:r w:rsidR="00084267">
        <w:t xml:space="preserve">ABC </w:t>
      </w:r>
      <w:r w:rsidRPr="00894CD6">
        <w:t>Capital legally obtains similar information from an independent third party, that information is not bound by this NDA.</w:t>
      </w:r>
    </w:p>
    <w:p w14:paraId="5C787CB7" w14:textId="08A024B0" w:rsidR="00894CD6" w:rsidRPr="00894CD6" w:rsidRDefault="00894CD6" w:rsidP="00894CD6">
      <w:pPr>
        <w:numPr>
          <w:ilvl w:val="0"/>
          <w:numId w:val="34"/>
        </w:numPr>
      </w:pPr>
      <w:r w:rsidRPr="00894CD6">
        <w:rPr>
          <w:b/>
          <w:bCs/>
        </w:rPr>
        <w:t>Independent Development</w:t>
      </w:r>
      <w:r w:rsidRPr="00894CD6">
        <w:t>: This ensures that any knowledge</w:t>
      </w:r>
      <w:r w:rsidR="00084267">
        <w:t xml:space="preserve"> ABC</w:t>
      </w:r>
      <w:r w:rsidRPr="00894CD6">
        <w:t xml:space="preserve"> Capital develops independently, without referencing </w:t>
      </w:r>
      <w:hyperlink r:id="rId19" w:history="1">
        <w:r w:rsidR="00084267" w:rsidRPr="00084267">
          <w:rPr>
            <w:rStyle w:val="Hyperlink"/>
          </w:rPr>
          <w:t xml:space="preserve"> Private Equity Bro</w:t>
        </w:r>
      </w:hyperlink>
      <w:hyperlink r:id="rId20" w:history="1">
        <w:r w:rsidR="00084267" w:rsidRPr="00084267">
          <w:rPr>
            <w:rStyle w:val="Hyperlink"/>
          </w:rPr>
          <w:t>’s</w:t>
        </w:r>
      </w:hyperlink>
      <w:r w:rsidRPr="00894CD6">
        <w:t xml:space="preserve"> confidential data, is also excluded.</w:t>
      </w:r>
    </w:p>
    <w:p w14:paraId="15555BC3" w14:textId="77777777" w:rsidR="00894CD6" w:rsidRPr="00894CD6" w:rsidRDefault="00894CD6" w:rsidP="00894CD6">
      <w:r w:rsidRPr="00894CD6">
        <w:rPr>
          <w:b/>
          <w:bCs/>
        </w:rPr>
        <w:t>Practical Note</w:t>
      </w:r>
      <w:r w:rsidRPr="00894CD6">
        <w:t>: These exclusions are standard in NDAs to avoid unnecessary restrictions. They allow the recipient to operate normally without worrying about breaching the NDA with information acquired independently or publicly available.</w:t>
      </w:r>
    </w:p>
    <w:p w14:paraId="06AE152B" w14:textId="77777777" w:rsidR="00894CD6" w:rsidRPr="00894CD6" w:rsidRDefault="00000000" w:rsidP="00894CD6">
      <w:r>
        <w:pict w14:anchorId="3E950E88">
          <v:rect id="_x0000_i1044" style="width:0;height:1.5pt" o:hralign="center" o:hrstd="t" o:hr="t" fillcolor="#a0a0a0" stroked="f"/>
        </w:pict>
      </w:r>
    </w:p>
    <w:p w14:paraId="5F6ED77B" w14:textId="77777777" w:rsidR="00894CD6" w:rsidRPr="00894CD6" w:rsidRDefault="00894CD6" w:rsidP="00894CD6">
      <w:pPr>
        <w:rPr>
          <w:b/>
          <w:bCs/>
        </w:rPr>
      </w:pPr>
      <w:r w:rsidRPr="00894CD6">
        <w:rPr>
          <w:b/>
          <w:bCs/>
        </w:rPr>
        <w:t>3. Obligations of Confidentiality</w:t>
      </w:r>
    </w:p>
    <w:p w14:paraId="3A4D60C0" w14:textId="647D4434" w:rsidR="00894CD6" w:rsidRPr="00894CD6" w:rsidRDefault="00894CD6" w:rsidP="00894CD6">
      <w:r w:rsidRPr="00894CD6">
        <w:rPr>
          <w:b/>
          <w:bCs/>
        </w:rPr>
        <w:t>Purpose</w:t>
      </w:r>
      <w:r w:rsidRPr="00894CD6">
        <w:t>: This is where the meat of the NDA lies</w:t>
      </w:r>
      <w:r w:rsidR="00D02FE7">
        <w:t xml:space="preserve"> </w:t>
      </w:r>
      <w:r w:rsidRPr="00894CD6">
        <w:t>—</w:t>
      </w:r>
      <w:r w:rsidR="00D02FE7">
        <w:t xml:space="preserve"> </w:t>
      </w:r>
      <w:r w:rsidRPr="00894CD6">
        <w:t>it outlines the specific actions the recipient (</w:t>
      </w:r>
      <w:r w:rsidR="00084267">
        <w:t xml:space="preserve">ABC </w:t>
      </w:r>
      <w:r w:rsidRPr="00894CD6">
        <w:t>Capital) must take to protect the disclosed information.</w:t>
      </w:r>
    </w:p>
    <w:p w14:paraId="45858223" w14:textId="77777777" w:rsidR="00894CD6" w:rsidRPr="00894CD6" w:rsidRDefault="00894CD6" w:rsidP="00894CD6">
      <w:r w:rsidRPr="00894CD6">
        <w:rPr>
          <w:b/>
          <w:bCs/>
        </w:rPr>
        <w:t>What It Covers</w:t>
      </w:r>
      <w:r w:rsidRPr="00894CD6">
        <w:t>:</w:t>
      </w:r>
    </w:p>
    <w:p w14:paraId="2DDE5122" w14:textId="178934F5" w:rsidR="00894CD6" w:rsidRPr="00894CD6" w:rsidRDefault="00894CD6" w:rsidP="00894CD6">
      <w:pPr>
        <w:numPr>
          <w:ilvl w:val="0"/>
          <w:numId w:val="35"/>
        </w:numPr>
      </w:pPr>
      <w:r w:rsidRPr="00894CD6">
        <w:rPr>
          <w:b/>
          <w:bCs/>
        </w:rPr>
        <w:t>Safeguarding Information</w:t>
      </w:r>
      <w:r w:rsidRPr="00894CD6">
        <w:t xml:space="preserve">: </w:t>
      </w:r>
      <w:r w:rsidR="00084267">
        <w:t xml:space="preserve">ABC </w:t>
      </w:r>
      <w:r w:rsidRPr="00894CD6">
        <w:t xml:space="preserve">Capital is required to treat </w:t>
      </w:r>
      <w:hyperlink r:id="rId21" w:history="1">
        <w:r w:rsidR="00084267" w:rsidRPr="00084267">
          <w:rPr>
            <w:rStyle w:val="Hyperlink"/>
          </w:rPr>
          <w:t xml:space="preserve"> Private Equity Bro</w:t>
        </w:r>
      </w:hyperlink>
      <w:hyperlink r:id="rId22" w:history="1">
        <w:r w:rsidR="00084267" w:rsidRPr="00084267">
          <w:rPr>
            <w:rStyle w:val="Hyperlink"/>
          </w:rPr>
          <w:t>’s</w:t>
        </w:r>
      </w:hyperlink>
      <w:r w:rsidRPr="00894CD6">
        <w:t xml:space="preserve"> confidential information with the same care it uses for its own sensitive data, or at least a “commercially reasonable” standard. This clause sets a clear standard of care.</w:t>
      </w:r>
    </w:p>
    <w:p w14:paraId="44DB45B7" w14:textId="0F1CFF0B" w:rsidR="00894CD6" w:rsidRPr="00894CD6" w:rsidRDefault="00894CD6" w:rsidP="00894CD6">
      <w:pPr>
        <w:numPr>
          <w:ilvl w:val="0"/>
          <w:numId w:val="35"/>
        </w:numPr>
      </w:pPr>
      <w:r w:rsidRPr="00894CD6">
        <w:rPr>
          <w:b/>
          <w:bCs/>
        </w:rPr>
        <w:t>Limited Disclosure</w:t>
      </w:r>
      <w:r w:rsidRPr="00894CD6">
        <w:t xml:space="preserve">: Only individuals within </w:t>
      </w:r>
      <w:r w:rsidR="00084267">
        <w:t xml:space="preserve">ABC </w:t>
      </w:r>
      <w:r w:rsidR="00084267" w:rsidRPr="00894CD6">
        <w:t>Capital</w:t>
      </w:r>
      <w:r w:rsidR="00084267" w:rsidRPr="00894CD6">
        <w:t xml:space="preserve"> </w:t>
      </w:r>
      <w:r w:rsidRPr="00894CD6">
        <w:t>who need access to the information (like employees or advisors directly involved in evaluating the transaction) are permitted to view it.</w:t>
      </w:r>
    </w:p>
    <w:p w14:paraId="2B0E5872" w14:textId="77777777" w:rsidR="00894CD6" w:rsidRPr="00894CD6" w:rsidRDefault="00894CD6" w:rsidP="00894CD6">
      <w:pPr>
        <w:numPr>
          <w:ilvl w:val="0"/>
          <w:numId w:val="35"/>
        </w:numPr>
      </w:pPr>
      <w:r w:rsidRPr="00894CD6">
        <w:rPr>
          <w:b/>
          <w:bCs/>
        </w:rPr>
        <w:t>Awareness and Agreement</w:t>
      </w:r>
      <w:r w:rsidRPr="00894CD6">
        <w:t>: Those with access to the information are made aware of their obligations under the NDA, adding another layer of security and accountability.</w:t>
      </w:r>
    </w:p>
    <w:p w14:paraId="6063D485" w14:textId="13DB69B8" w:rsidR="00894CD6" w:rsidRPr="00894CD6" w:rsidRDefault="00894CD6" w:rsidP="00894CD6">
      <w:pPr>
        <w:numPr>
          <w:ilvl w:val="0"/>
          <w:numId w:val="35"/>
        </w:numPr>
      </w:pPr>
      <w:r w:rsidRPr="00894CD6">
        <w:rPr>
          <w:b/>
          <w:bCs/>
        </w:rPr>
        <w:t>Use Restriction</w:t>
      </w:r>
      <w:r w:rsidRPr="00894CD6">
        <w:t xml:space="preserve">: The confidential information can only be used for evaluating or facilitating the transaction. This restriction prevents </w:t>
      </w:r>
      <w:r w:rsidR="00084267">
        <w:t xml:space="preserve">ABC </w:t>
      </w:r>
      <w:r w:rsidR="00084267" w:rsidRPr="00894CD6">
        <w:t>Capital</w:t>
      </w:r>
      <w:r w:rsidR="00084267" w:rsidRPr="00894CD6">
        <w:t xml:space="preserve"> </w:t>
      </w:r>
      <w:r w:rsidRPr="00894CD6">
        <w:t>from using the data for any unrelated business purposes.</w:t>
      </w:r>
    </w:p>
    <w:p w14:paraId="70DCDA9D" w14:textId="77777777" w:rsidR="00894CD6" w:rsidRPr="00894CD6" w:rsidRDefault="00894CD6" w:rsidP="00894CD6">
      <w:r w:rsidRPr="00894CD6">
        <w:rPr>
          <w:b/>
          <w:bCs/>
        </w:rPr>
        <w:t>Practical Note</w:t>
      </w:r>
      <w:r w:rsidRPr="00894CD6">
        <w:t>: These obligations form the heart of confidentiality. By restricting access and usage, this section provides clear boundaries around how information should be handled within the receiving party’s organization.</w:t>
      </w:r>
    </w:p>
    <w:p w14:paraId="63BBB33E" w14:textId="77777777" w:rsidR="00894CD6" w:rsidRPr="00894CD6" w:rsidRDefault="00000000" w:rsidP="00894CD6">
      <w:r>
        <w:pict w14:anchorId="775B3B4A">
          <v:rect id="_x0000_i1045" style="width:0;height:1.5pt" o:hralign="center" o:hrstd="t" o:hr="t" fillcolor="#a0a0a0" stroked="f"/>
        </w:pict>
      </w:r>
    </w:p>
    <w:p w14:paraId="32D83541" w14:textId="77777777" w:rsidR="00894CD6" w:rsidRPr="00894CD6" w:rsidRDefault="00894CD6" w:rsidP="00894CD6">
      <w:pPr>
        <w:rPr>
          <w:b/>
          <w:bCs/>
        </w:rPr>
      </w:pPr>
      <w:r w:rsidRPr="00894CD6">
        <w:rPr>
          <w:b/>
          <w:bCs/>
        </w:rPr>
        <w:t>4. Legally Required Disclosure</w:t>
      </w:r>
    </w:p>
    <w:p w14:paraId="2B7FCF63" w14:textId="54A4597F" w:rsidR="00894CD6" w:rsidRPr="00894CD6" w:rsidRDefault="00894CD6" w:rsidP="00894CD6">
      <w:r w:rsidRPr="00894CD6">
        <w:rPr>
          <w:b/>
          <w:bCs/>
        </w:rPr>
        <w:t>Purpose</w:t>
      </w:r>
      <w:r w:rsidRPr="00894CD6">
        <w:t xml:space="preserve">: This section provides a structured response if </w:t>
      </w:r>
      <w:r w:rsidR="00084267">
        <w:t xml:space="preserve">ABC </w:t>
      </w:r>
      <w:r w:rsidRPr="00894CD6">
        <w:t xml:space="preserve">Capital is legally obligated to disclose </w:t>
      </w:r>
      <w:hyperlink r:id="rId23" w:history="1">
        <w:r w:rsidRPr="00084267">
          <w:rPr>
            <w:rStyle w:val="Hyperlink"/>
          </w:rPr>
          <w:t>Private Equity Bro’s</w:t>
        </w:r>
      </w:hyperlink>
      <w:r w:rsidRPr="00894CD6">
        <w:t xml:space="preserve"> confidential information.</w:t>
      </w:r>
    </w:p>
    <w:p w14:paraId="6143DB76" w14:textId="77777777" w:rsidR="00894CD6" w:rsidRPr="00894CD6" w:rsidRDefault="00894CD6" w:rsidP="00894CD6">
      <w:r w:rsidRPr="00894CD6">
        <w:rPr>
          <w:b/>
          <w:bCs/>
        </w:rPr>
        <w:t>What It Covers</w:t>
      </w:r>
      <w:r w:rsidRPr="00894CD6">
        <w:t>:</w:t>
      </w:r>
    </w:p>
    <w:p w14:paraId="03471730" w14:textId="217B063C" w:rsidR="00894CD6" w:rsidRPr="00894CD6" w:rsidRDefault="00894CD6" w:rsidP="00894CD6">
      <w:pPr>
        <w:numPr>
          <w:ilvl w:val="0"/>
          <w:numId w:val="36"/>
        </w:numPr>
      </w:pPr>
      <w:r w:rsidRPr="00894CD6">
        <w:rPr>
          <w:b/>
          <w:bCs/>
        </w:rPr>
        <w:lastRenderedPageBreak/>
        <w:t>Prompt Notification</w:t>
      </w:r>
      <w:r w:rsidRPr="00894CD6">
        <w:t xml:space="preserve">: </w:t>
      </w:r>
      <w:r w:rsidR="00084267">
        <w:t xml:space="preserve">ABC </w:t>
      </w:r>
      <w:r w:rsidRPr="00894CD6">
        <w:t xml:space="preserve">Capital must inform </w:t>
      </w:r>
      <w:hyperlink r:id="rId24" w:history="1">
        <w:r w:rsidRPr="00084267">
          <w:rPr>
            <w:rStyle w:val="Hyperlink"/>
          </w:rPr>
          <w:t>Private Equity Bro</w:t>
        </w:r>
      </w:hyperlink>
      <w:r w:rsidRPr="00894CD6">
        <w:t xml:space="preserve"> as soon as possible if there’s a legal requirement to disclose any confidential information. This gives </w:t>
      </w:r>
      <w:hyperlink r:id="rId25" w:history="1">
        <w:r w:rsidR="00084267" w:rsidRPr="00084267">
          <w:rPr>
            <w:rStyle w:val="Hyperlink"/>
          </w:rPr>
          <w:t xml:space="preserve"> Private Equity Bro</w:t>
        </w:r>
      </w:hyperlink>
      <w:r w:rsidRPr="00894CD6">
        <w:t xml:space="preserve"> time to prepare or attempt to limit the disclosure.</w:t>
      </w:r>
    </w:p>
    <w:p w14:paraId="59512D54" w14:textId="37733278" w:rsidR="00894CD6" w:rsidRPr="00894CD6" w:rsidRDefault="00894CD6" w:rsidP="00894CD6">
      <w:pPr>
        <w:numPr>
          <w:ilvl w:val="0"/>
          <w:numId w:val="36"/>
        </w:numPr>
      </w:pPr>
      <w:r w:rsidRPr="00894CD6">
        <w:rPr>
          <w:b/>
          <w:bCs/>
        </w:rPr>
        <w:t>Cooperation in Seeking Protections</w:t>
      </w:r>
      <w:r w:rsidRPr="00894CD6">
        <w:t xml:space="preserve">: If </w:t>
      </w:r>
      <w:hyperlink r:id="rId26" w:history="1">
        <w:r w:rsidRPr="00084267">
          <w:rPr>
            <w:rStyle w:val="Hyperlink"/>
          </w:rPr>
          <w:t>Private Equity Bro</w:t>
        </w:r>
      </w:hyperlink>
      <w:r w:rsidRPr="00894CD6">
        <w:t xml:space="preserve"> wants to seek a protective order or other legal remedy to limit the disclosure, </w:t>
      </w:r>
      <w:r w:rsidR="00084267">
        <w:t xml:space="preserve">ABC </w:t>
      </w:r>
      <w:r w:rsidRPr="00894CD6">
        <w:t>Capital agrees to assist.</w:t>
      </w:r>
    </w:p>
    <w:p w14:paraId="1A44E5C2" w14:textId="77777777" w:rsidR="00894CD6" w:rsidRPr="00894CD6" w:rsidRDefault="00894CD6" w:rsidP="00894CD6">
      <w:pPr>
        <w:numPr>
          <w:ilvl w:val="0"/>
          <w:numId w:val="36"/>
        </w:numPr>
      </w:pPr>
      <w:r w:rsidRPr="00894CD6">
        <w:rPr>
          <w:b/>
          <w:bCs/>
        </w:rPr>
        <w:t>Minimized Disclosure</w:t>
      </w:r>
      <w:r w:rsidRPr="00894CD6">
        <w:t>: Only the minimum necessary information should be disclosed, which prevents unnecessary exposure.</w:t>
      </w:r>
    </w:p>
    <w:p w14:paraId="602EFFB8" w14:textId="77777777" w:rsidR="00894CD6" w:rsidRPr="00894CD6" w:rsidRDefault="00894CD6" w:rsidP="00894CD6">
      <w:r w:rsidRPr="00894CD6">
        <w:rPr>
          <w:b/>
          <w:bCs/>
        </w:rPr>
        <w:t>Practical Note</w:t>
      </w:r>
      <w:r w:rsidRPr="00894CD6">
        <w:t>: This is an essential provision, especially when regulatory or legal obligations are involved. It ensures that disclosure is limited and only done when strictly necessary, maintaining as much confidentiality as possible under the circumstances.</w:t>
      </w:r>
    </w:p>
    <w:p w14:paraId="0615112F" w14:textId="77777777" w:rsidR="00894CD6" w:rsidRPr="00894CD6" w:rsidRDefault="00000000" w:rsidP="00894CD6">
      <w:r>
        <w:pict w14:anchorId="01FE8C75">
          <v:rect id="_x0000_i1046" style="width:0;height:1.5pt" o:hralign="center" o:hrstd="t" o:hr="t" fillcolor="#a0a0a0" stroked="f"/>
        </w:pict>
      </w:r>
    </w:p>
    <w:p w14:paraId="7140FBA8" w14:textId="77777777" w:rsidR="00894CD6" w:rsidRPr="00894CD6" w:rsidRDefault="00894CD6" w:rsidP="00894CD6">
      <w:pPr>
        <w:rPr>
          <w:b/>
          <w:bCs/>
        </w:rPr>
      </w:pPr>
      <w:r w:rsidRPr="00894CD6">
        <w:rPr>
          <w:b/>
          <w:bCs/>
        </w:rPr>
        <w:t>5. Return or Destruction of Confidential Information</w:t>
      </w:r>
    </w:p>
    <w:p w14:paraId="65035616" w14:textId="77777777" w:rsidR="00894CD6" w:rsidRPr="00894CD6" w:rsidRDefault="00894CD6" w:rsidP="00894CD6">
      <w:r w:rsidRPr="00894CD6">
        <w:rPr>
          <w:b/>
          <w:bCs/>
        </w:rPr>
        <w:t>Purpose</w:t>
      </w:r>
      <w:r w:rsidRPr="00894CD6">
        <w:t>: This section outlines what happens to confidential information after the discussions or transaction ends. It prevents confidential information from being unnecessarily retained by the recipient.</w:t>
      </w:r>
    </w:p>
    <w:p w14:paraId="4C0A8626" w14:textId="77777777" w:rsidR="00894CD6" w:rsidRPr="00894CD6" w:rsidRDefault="00894CD6" w:rsidP="00894CD6">
      <w:r w:rsidRPr="00894CD6">
        <w:rPr>
          <w:b/>
          <w:bCs/>
        </w:rPr>
        <w:t>What It Covers</w:t>
      </w:r>
      <w:r w:rsidRPr="00894CD6">
        <w:t>:</w:t>
      </w:r>
    </w:p>
    <w:p w14:paraId="4AC938D2" w14:textId="54370E2B" w:rsidR="00894CD6" w:rsidRPr="00894CD6" w:rsidRDefault="00894CD6" w:rsidP="00894CD6">
      <w:pPr>
        <w:numPr>
          <w:ilvl w:val="0"/>
          <w:numId w:val="37"/>
        </w:numPr>
      </w:pPr>
      <w:r w:rsidRPr="00894CD6">
        <w:rPr>
          <w:b/>
          <w:bCs/>
        </w:rPr>
        <w:t>Return or Destruction Requirement</w:t>
      </w:r>
      <w:r w:rsidRPr="00894CD6">
        <w:t xml:space="preserve">: Upon request, </w:t>
      </w:r>
      <w:r w:rsidR="00084267">
        <w:t xml:space="preserve">ABC </w:t>
      </w:r>
      <w:r w:rsidRPr="00894CD6">
        <w:t>Capital must either return or destroy all confidential documents, files, and any derivative information.</w:t>
      </w:r>
    </w:p>
    <w:p w14:paraId="2495A20A" w14:textId="77C03ED9" w:rsidR="00894CD6" w:rsidRPr="00894CD6" w:rsidRDefault="00894CD6" w:rsidP="00894CD6">
      <w:pPr>
        <w:numPr>
          <w:ilvl w:val="0"/>
          <w:numId w:val="37"/>
        </w:numPr>
      </w:pPr>
      <w:r w:rsidRPr="00894CD6">
        <w:rPr>
          <w:b/>
          <w:bCs/>
        </w:rPr>
        <w:t>Certification of Destruction</w:t>
      </w:r>
      <w:r w:rsidRPr="00894CD6">
        <w:t xml:space="preserve">: If requested, </w:t>
      </w:r>
      <w:r w:rsidR="00084267">
        <w:t xml:space="preserve">ABC </w:t>
      </w:r>
      <w:r w:rsidRPr="00894CD6">
        <w:t>Capital may be required to certify that all confidential information has been destroyed, adding another level of accountability.</w:t>
      </w:r>
    </w:p>
    <w:p w14:paraId="1B7613A1" w14:textId="392D53F3" w:rsidR="00894CD6" w:rsidRPr="00894CD6" w:rsidRDefault="00894CD6" w:rsidP="00894CD6">
      <w:pPr>
        <w:numPr>
          <w:ilvl w:val="0"/>
          <w:numId w:val="37"/>
        </w:numPr>
      </w:pPr>
      <w:r w:rsidRPr="00894CD6">
        <w:rPr>
          <w:b/>
          <w:bCs/>
        </w:rPr>
        <w:t>Limited Retention</w:t>
      </w:r>
      <w:r w:rsidRPr="00894CD6">
        <w:t xml:space="preserve">: </w:t>
      </w:r>
      <w:r w:rsidR="00084267">
        <w:t xml:space="preserve">ABC </w:t>
      </w:r>
      <w:r w:rsidRPr="00894CD6">
        <w:t>Capital can retain some information only if necessary for legal compliance, with the understanding that such retained information is still bound by confidentiality.</w:t>
      </w:r>
    </w:p>
    <w:p w14:paraId="1BDBD198" w14:textId="77777777" w:rsidR="00894CD6" w:rsidRPr="00894CD6" w:rsidRDefault="00894CD6" w:rsidP="00894CD6">
      <w:r w:rsidRPr="00894CD6">
        <w:rPr>
          <w:b/>
          <w:bCs/>
        </w:rPr>
        <w:t>Practical Note</w:t>
      </w:r>
      <w:r w:rsidRPr="00894CD6">
        <w:t>: This section ensures that confidential data doesn’t stay unnecessarily with the recipient, which reduces risk after the transaction concludes. Certification of destruction can be a useful addition if there are heightened concerns over security.</w:t>
      </w:r>
    </w:p>
    <w:p w14:paraId="5B048058" w14:textId="77777777" w:rsidR="00894CD6" w:rsidRPr="00894CD6" w:rsidRDefault="00000000" w:rsidP="00894CD6">
      <w:r>
        <w:pict w14:anchorId="1D5F20AC">
          <v:rect id="_x0000_i1047" style="width:0;height:1.5pt" o:hralign="center" o:hrstd="t" o:hr="t" fillcolor="#a0a0a0" stroked="f"/>
        </w:pict>
      </w:r>
    </w:p>
    <w:p w14:paraId="56BC9EC9" w14:textId="77777777" w:rsidR="00894CD6" w:rsidRPr="00894CD6" w:rsidRDefault="00894CD6" w:rsidP="00894CD6">
      <w:pPr>
        <w:rPr>
          <w:b/>
          <w:bCs/>
        </w:rPr>
      </w:pPr>
      <w:r w:rsidRPr="00894CD6">
        <w:rPr>
          <w:b/>
          <w:bCs/>
        </w:rPr>
        <w:t>6. Term of Confidentiality</w:t>
      </w:r>
    </w:p>
    <w:p w14:paraId="1D2477AA" w14:textId="58E0C2C1" w:rsidR="00894CD6" w:rsidRPr="00894CD6" w:rsidRDefault="00894CD6" w:rsidP="00894CD6">
      <w:r w:rsidRPr="00894CD6">
        <w:rPr>
          <w:b/>
          <w:bCs/>
        </w:rPr>
        <w:t>Purpose</w:t>
      </w:r>
      <w:r w:rsidRPr="00894CD6">
        <w:t xml:space="preserve">: This defines how long </w:t>
      </w:r>
      <w:r w:rsidR="00084267">
        <w:t xml:space="preserve">ABC </w:t>
      </w:r>
      <w:r w:rsidRPr="00894CD6">
        <w:t>Capital is obligated to keep the information confidential. Setting a reasonable timeframe helps balance protection with practicality.</w:t>
      </w:r>
    </w:p>
    <w:p w14:paraId="1B0F64CA" w14:textId="77777777" w:rsidR="00894CD6" w:rsidRPr="00894CD6" w:rsidRDefault="00894CD6" w:rsidP="00894CD6">
      <w:r w:rsidRPr="00894CD6">
        <w:rPr>
          <w:b/>
          <w:bCs/>
        </w:rPr>
        <w:lastRenderedPageBreak/>
        <w:t>What It Covers</w:t>
      </w:r>
      <w:r w:rsidRPr="00894CD6">
        <w:t xml:space="preserve">: The standard term here is two years from the effective date, which is common in M&amp;A NDAs. However, if trade secrets are disclosed, this confidentiality remains </w:t>
      </w:r>
      <w:proofErr w:type="gramStart"/>
      <w:r w:rsidRPr="00894CD6">
        <w:t>as long as</w:t>
      </w:r>
      <w:proofErr w:type="gramEnd"/>
      <w:r w:rsidRPr="00894CD6">
        <w:t xml:space="preserve"> they remain legally protected as trade secrets, providing a longer-term safeguard for proprietary data.</w:t>
      </w:r>
    </w:p>
    <w:p w14:paraId="389A5D6B" w14:textId="77777777" w:rsidR="00894CD6" w:rsidRPr="00894CD6" w:rsidRDefault="00894CD6" w:rsidP="00894CD6">
      <w:r w:rsidRPr="00894CD6">
        <w:rPr>
          <w:b/>
          <w:bCs/>
        </w:rPr>
        <w:t>Practical Note</w:t>
      </w:r>
      <w:r w:rsidRPr="00894CD6">
        <w:t>: This section provides clarity on duration, ensuring that confidentiality obligations have an endpoint, except for critical data like trade secrets that may require longer protection.</w:t>
      </w:r>
    </w:p>
    <w:p w14:paraId="14FEA904" w14:textId="77777777" w:rsidR="00894CD6" w:rsidRPr="00894CD6" w:rsidRDefault="00000000" w:rsidP="00894CD6">
      <w:r>
        <w:pict w14:anchorId="65753ADB">
          <v:rect id="_x0000_i1048" style="width:0;height:1.5pt" o:hralign="center" o:hrstd="t" o:hr="t" fillcolor="#a0a0a0" stroked="f"/>
        </w:pict>
      </w:r>
    </w:p>
    <w:p w14:paraId="08A6BB73" w14:textId="77777777" w:rsidR="00894CD6" w:rsidRPr="00894CD6" w:rsidRDefault="00894CD6" w:rsidP="00894CD6">
      <w:pPr>
        <w:rPr>
          <w:b/>
          <w:bCs/>
        </w:rPr>
      </w:pPr>
      <w:r w:rsidRPr="00894CD6">
        <w:rPr>
          <w:b/>
          <w:bCs/>
        </w:rPr>
        <w:t>7. Non-Circumvention and Non-Solicitation</w:t>
      </w:r>
    </w:p>
    <w:p w14:paraId="7F71D8B4" w14:textId="7B02CC05" w:rsidR="00894CD6" w:rsidRPr="00894CD6" w:rsidRDefault="00894CD6" w:rsidP="00894CD6">
      <w:r w:rsidRPr="00894CD6">
        <w:rPr>
          <w:b/>
          <w:bCs/>
        </w:rPr>
        <w:t>Purpose</w:t>
      </w:r>
      <w:r w:rsidRPr="00894CD6">
        <w:t xml:space="preserve">: This section adds extra protections to ensure that </w:t>
      </w:r>
      <w:r w:rsidR="00084267">
        <w:t xml:space="preserve">ABC </w:t>
      </w:r>
      <w:r w:rsidRPr="00894CD6">
        <w:t xml:space="preserve">Capital doesn’t bypass </w:t>
      </w:r>
      <w:hyperlink r:id="rId27" w:history="1">
        <w:r w:rsidRPr="00084267">
          <w:rPr>
            <w:rStyle w:val="Hyperlink"/>
          </w:rPr>
          <w:t>Private Equity Bro</w:t>
        </w:r>
      </w:hyperlink>
      <w:r w:rsidRPr="00894CD6">
        <w:t xml:space="preserve"> to engage directly with its employees, clients, or other critical contacts.</w:t>
      </w:r>
    </w:p>
    <w:p w14:paraId="4D937EDB" w14:textId="77777777" w:rsidR="00894CD6" w:rsidRPr="00894CD6" w:rsidRDefault="00894CD6" w:rsidP="00894CD6">
      <w:r w:rsidRPr="00894CD6">
        <w:rPr>
          <w:b/>
          <w:bCs/>
        </w:rPr>
        <w:t>What It Covers</w:t>
      </w:r>
      <w:r w:rsidRPr="00894CD6">
        <w:t>:</w:t>
      </w:r>
    </w:p>
    <w:p w14:paraId="2E766F00" w14:textId="266A3F36" w:rsidR="00894CD6" w:rsidRPr="00894CD6" w:rsidRDefault="00894CD6" w:rsidP="00894CD6">
      <w:pPr>
        <w:numPr>
          <w:ilvl w:val="0"/>
          <w:numId w:val="38"/>
        </w:numPr>
      </w:pPr>
      <w:r w:rsidRPr="00894CD6">
        <w:rPr>
          <w:b/>
          <w:bCs/>
        </w:rPr>
        <w:t>Employee Non-Solicitation</w:t>
      </w:r>
      <w:r w:rsidRPr="00894CD6">
        <w:t xml:space="preserve">: </w:t>
      </w:r>
      <w:r w:rsidR="00084267">
        <w:t xml:space="preserve">ABC </w:t>
      </w:r>
      <w:r w:rsidRPr="00894CD6">
        <w:t xml:space="preserve">Capital agrees not to solicit </w:t>
      </w:r>
      <w:hyperlink r:id="rId28" w:history="1">
        <w:r w:rsidRPr="00084267">
          <w:rPr>
            <w:rStyle w:val="Hyperlink"/>
          </w:rPr>
          <w:t>Private Equity Bro’s</w:t>
        </w:r>
      </w:hyperlink>
      <w:r w:rsidRPr="00894CD6">
        <w:t xml:space="preserve"> employees involved in the transaction.</w:t>
      </w:r>
    </w:p>
    <w:p w14:paraId="108D2BDE" w14:textId="7E6069C0" w:rsidR="00894CD6" w:rsidRPr="00894CD6" w:rsidRDefault="00894CD6" w:rsidP="00894CD6">
      <w:pPr>
        <w:numPr>
          <w:ilvl w:val="0"/>
          <w:numId w:val="38"/>
        </w:numPr>
      </w:pPr>
      <w:r w:rsidRPr="00894CD6">
        <w:rPr>
          <w:b/>
          <w:bCs/>
        </w:rPr>
        <w:t>Client and Contact Non-Solicitation</w:t>
      </w:r>
      <w:r w:rsidRPr="00894CD6">
        <w:t xml:space="preserve">: </w:t>
      </w:r>
      <w:r w:rsidR="00084267">
        <w:t xml:space="preserve">ABC </w:t>
      </w:r>
      <w:r w:rsidRPr="00894CD6">
        <w:t xml:space="preserve">Capital can’t solicit business from </w:t>
      </w:r>
      <w:hyperlink r:id="rId29" w:history="1">
        <w:r w:rsidRPr="00084267">
          <w:rPr>
            <w:rStyle w:val="Hyperlink"/>
          </w:rPr>
          <w:t>Private Equity Bro’s</w:t>
        </w:r>
      </w:hyperlink>
      <w:r w:rsidRPr="00894CD6">
        <w:t xml:space="preserve"> clients, customers, or other important connections disclosed during the transaction.</w:t>
      </w:r>
    </w:p>
    <w:p w14:paraId="12D8A776" w14:textId="77777777" w:rsidR="00894CD6" w:rsidRPr="00894CD6" w:rsidRDefault="00894CD6" w:rsidP="00894CD6">
      <w:pPr>
        <w:numPr>
          <w:ilvl w:val="0"/>
          <w:numId w:val="38"/>
        </w:numPr>
      </w:pPr>
      <w:r w:rsidRPr="00894CD6">
        <w:rPr>
          <w:b/>
          <w:bCs/>
        </w:rPr>
        <w:t>Enforcement Period</w:t>
      </w:r>
      <w:r w:rsidRPr="00894CD6">
        <w:t>: This provision lasts 12 months after the NDA ends, ensuring that these protections extend beyond the immediate transaction discussions.</w:t>
      </w:r>
    </w:p>
    <w:p w14:paraId="1C9D1C1B" w14:textId="77777777" w:rsidR="00894CD6" w:rsidRPr="00894CD6" w:rsidRDefault="00894CD6" w:rsidP="00894CD6">
      <w:r w:rsidRPr="00894CD6">
        <w:rPr>
          <w:b/>
          <w:bCs/>
        </w:rPr>
        <w:t>Practical Note</w:t>
      </w:r>
      <w:r w:rsidRPr="00894CD6">
        <w:t>: Non-solicitation and non-circumvention clauses are valuable in M&amp;A NDAs, particularly when there’s a risk of poaching employees or business relationships.</w:t>
      </w:r>
    </w:p>
    <w:p w14:paraId="524C012A" w14:textId="77777777" w:rsidR="00894CD6" w:rsidRPr="00894CD6" w:rsidRDefault="00000000" w:rsidP="00894CD6">
      <w:r>
        <w:pict w14:anchorId="5D5FC244">
          <v:rect id="_x0000_i1049" style="width:0;height:1.5pt" o:hralign="center" o:hrstd="t" o:hr="t" fillcolor="#a0a0a0" stroked="f"/>
        </w:pict>
      </w:r>
    </w:p>
    <w:p w14:paraId="48D57B6E" w14:textId="77777777" w:rsidR="00894CD6" w:rsidRPr="00894CD6" w:rsidRDefault="00894CD6" w:rsidP="00894CD6">
      <w:pPr>
        <w:rPr>
          <w:b/>
          <w:bCs/>
        </w:rPr>
      </w:pPr>
      <w:r w:rsidRPr="00894CD6">
        <w:rPr>
          <w:b/>
          <w:bCs/>
        </w:rPr>
        <w:t>8. No Transfer of Ownership Rights</w:t>
      </w:r>
    </w:p>
    <w:p w14:paraId="40ECF644" w14:textId="553ABF44" w:rsidR="00894CD6" w:rsidRPr="00894CD6" w:rsidRDefault="00894CD6" w:rsidP="00894CD6">
      <w:r w:rsidRPr="00894CD6">
        <w:rPr>
          <w:b/>
          <w:bCs/>
        </w:rPr>
        <w:t>Purpose</w:t>
      </w:r>
      <w:r w:rsidRPr="00894CD6">
        <w:t xml:space="preserve">: This clause ensures that </w:t>
      </w:r>
      <w:r w:rsidR="00084267">
        <w:t xml:space="preserve">ABC </w:t>
      </w:r>
      <w:r w:rsidRPr="00894CD6">
        <w:t xml:space="preserve">Capital has no ownership rights over </w:t>
      </w:r>
      <w:hyperlink r:id="rId30" w:history="1">
        <w:r w:rsidRPr="00084267">
          <w:rPr>
            <w:rStyle w:val="Hyperlink"/>
          </w:rPr>
          <w:t>Private Equity Bro’s</w:t>
        </w:r>
      </w:hyperlink>
      <w:r w:rsidRPr="00894CD6">
        <w:t xml:space="preserve"> confidential information, even after disclosure.</w:t>
      </w:r>
    </w:p>
    <w:p w14:paraId="5DB0573B" w14:textId="347BDA34" w:rsidR="00894CD6" w:rsidRPr="00894CD6" w:rsidRDefault="00894CD6" w:rsidP="00894CD6">
      <w:r w:rsidRPr="00894CD6">
        <w:rPr>
          <w:b/>
          <w:bCs/>
        </w:rPr>
        <w:t>What It Covers</w:t>
      </w:r>
      <w:r w:rsidRPr="00894CD6">
        <w:t xml:space="preserve">: All disclosed information remains </w:t>
      </w:r>
      <w:hyperlink r:id="rId31" w:history="1">
        <w:r w:rsidR="00084267" w:rsidRPr="00084267">
          <w:rPr>
            <w:rStyle w:val="Hyperlink"/>
          </w:rPr>
          <w:t>Private Equity Bro’s</w:t>
        </w:r>
      </w:hyperlink>
      <w:r w:rsidRPr="00894CD6">
        <w:t xml:space="preserve"> property. This section clarifies that </w:t>
      </w:r>
      <w:r w:rsidR="00084267">
        <w:t xml:space="preserve">ABC </w:t>
      </w:r>
      <w:r w:rsidRPr="00894CD6">
        <w:t>Capital is granted access to the information only for the transaction and does not gain any rights to it.</w:t>
      </w:r>
    </w:p>
    <w:p w14:paraId="510F6C0B" w14:textId="77777777" w:rsidR="00894CD6" w:rsidRPr="00894CD6" w:rsidRDefault="00894CD6" w:rsidP="00894CD6">
      <w:r w:rsidRPr="00894CD6">
        <w:rPr>
          <w:b/>
          <w:bCs/>
        </w:rPr>
        <w:t>Practical Note</w:t>
      </w:r>
      <w:r w:rsidRPr="00894CD6">
        <w:t>: Ownership rights are especially relevant when intellectual property is involved, as it avoids potential conflicts over IP ownership post-disclosure.</w:t>
      </w:r>
    </w:p>
    <w:p w14:paraId="57B0B444" w14:textId="77777777" w:rsidR="00894CD6" w:rsidRPr="00894CD6" w:rsidRDefault="00000000" w:rsidP="00894CD6">
      <w:r>
        <w:pict w14:anchorId="3DAC9B52">
          <v:rect id="_x0000_i1050" style="width:0;height:1.5pt" o:hralign="center" o:hrstd="t" o:hr="t" fillcolor="#a0a0a0" stroked="f"/>
        </w:pict>
      </w:r>
    </w:p>
    <w:p w14:paraId="31007F7A" w14:textId="77777777" w:rsidR="00894CD6" w:rsidRPr="00894CD6" w:rsidRDefault="00894CD6" w:rsidP="00894CD6">
      <w:pPr>
        <w:rPr>
          <w:b/>
          <w:bCs/>
        </w:rPr>
      </w:pPr>
      <w:r w:rsidRPr="00894CD6">
        <w:rPr>
          <w:b/>
          <w:bCs/>
        </w:rPr>
        <w:lastRenderedPageBreak/>
        <w:t>9. Remedies for Breach</w:t>
      </w:r>
    </w:p>
    <w:p w14:paraId="7B273EF0" w14:textId="572F474F" w:rsidR="00894CD6" w:rsidRPr="00894CD6" w:rsidRDefault="00894CD6" w:rsidP="00894CD6">
      <w:r w:rsidRPr="00894CD6">
        <w:rPr>
          <w:b/>
          <w:bCs/>
        </w:rPr>
        <w:t>Purpose</w:t>
      </w:r>
      <w:r w:rsidRPr="00894CD6">
        <w:t>: This section outlines what</w:t>
      </w:r>
      <w:hyperlink r:id="rId32" w:history="1">
        <w:r w:rsidRPr="00084267">
          <w:rPr>
            <w:rStyle w:val="Hyperlink"/>
          </w:rPr>
          <w:t xml:space="preserve"> Private Equity Bro</w:t>
        </w:r>
      </w:hyperlink>
      <w:r w:rsidRPr="00894CD6">
        <w:t xml:space="preserve"> can do if </w:t>
      </w:r>
      <w:r w:rsidR="00084267">
        <w:t xml:space="preserve">ABC </w:t>
      </w:r>
      <w:r w:rsidRPr="00894CD6">
        <w:t>Capital breaches the NDA, ensuring enforceability.</w:t>
      </w:r>
    </w:p>
    <w:p w14:paraId="2BA6724D" w14:textId="77777777" w:rsidR="00894CD6" w:rsidRPr="00894CD6" w:rsidRDefault="00894CD6" w:rsidP="00894CD6">
      <w:r w:rsidRPr="00894CD6">
        <w:rPr>
          <w:b/>
          <w:bCs/>
        </w:rPr>
        <w:t>What It Covers</w:t>
      </w:r>
      <w:r w:rsidRPr="00894CD6">
        <w:t>:</w:t>
      </w:r>
    </w:p>
    <w:p w14:paraId="2B7BCA37" w14:textId="3E1C8E20" w:rsidR="00894CD6" w:rsidRPr="00894CD6" w:rsidRDefault="00894CD6" w:rsidP="00894CD6">
      <w:pPr>
        <w:numPr>
          <w:ilvl w:val="0"/>
          <w:numId w:val="39"/>
        </w:numPr>
      </w:pPr>
      <w:r w:rsidRPr="00894CD6">
        <w:rPr>
          <w:b/>
          <w:bCs/>
        </w:rPr>
        <w:t>Injunctive Relief</w:t>
      </w:r>
      <w:r w:rsidRPr="00894CD6">
        <w:t>:</w:t>
      </w:r>
      <w:r w:rsidR="00084267" w:rsidRPr="00084267">
        <w:t xml:space="preserve"> </w:t>
      </w:r>
      <w:hyperlink r:id="rId33" w:history="1">
        <w:r w:rsidR="00084267" w:rsidRPr="00084267">
          <w:rPr>
            <w:rStyle w:val="Hyperlink"/>
          </w:rPr>
          <w:t xml:space="preserve"> Private Equity Bro</w:t>
        </w:r>
      </w:hyperlink>
      <w:r w:rsidRPr="00894CD6">
        <w:t xml:space="preserve"> can seek immediate court intervention to prevent further misuse of confidential information.</w:t>
      </w:r>
    </w:p>
    <w:p w14:paraId="47097C71" w14:textId="77777777" w:rsidR="00894CD6" w:rsidRPr="00894CD6" w:rsidRDefault="00894CD6" w:rsidP="00894CD6">
      <w:pPr>
        <w:numPr>
          <w:ilvl w:val="0"/>
          <w:numId w:val="39"/>
        </w:numPr>
      </w:pPr>
      <w:r w:rsidRPr="00894CD6">
        <w:rPr>
          <w:b/>
          <w:bCs/>
        </w:rPr>
        <w:t>Additional Remedies</w:t>
      </w:r>
      <w:r w:rsidRPr="00894CD6">
        <w:t>: Other remedies, including damages, are also available, ensuring comprehensive legal recourse.</w:t>
      </w:r>
    </w:p>
    <w:p w14:paraId="51F7DA6F" w14:textId="77777777" w:rsidR="00894CD6" w:rsidRPr="00894CD6" w:rsidRDefault="00894CD6" w:rsidP="00894CD6">
      <w:r w:rsidRPr="00894CD6">
        <w:rPr>
          <w:b/>
          <w:bCs/>
        </w:rPr>
        <w:t>Practical Note</w:t>
      </w:r>
      <w:r w:rsidRPr="00894CD6">
        <w:t>: Injunctive relief is a standard remedy in NDAs, particularly useful when breaches occur, as it allows for swift action to mitigate damage.</w:t>
      </w:r>
    </w:p>
    <w:p w14:paraId="2C83B6EE" w14:textId="77777777" w:rsidR="00894CD6" w:rsidRPr="00894CD6" w:rsidRDefault="00000000" w:rsidP="00894CD6">
      <w:r>
        <w:pict w14:anchorId="21CF72DB">
          <v:rect id="_x0000_i1051" style="width:0;height:1.5pt" o:hralign="center" o:hrstd="t" o:hr="t" fillcolor="#a0a0a0" stroked="f"/>
        </w:pict>
      </w:r>
    </w:p>
    <w:p w14:paraId="540DA3CC" w14:textId="77777777" w:rsidR="00894CD6" w:rsidRPr="00894CD6" w:rsidRDefault="00894CD6" w:rsidP="00894CD6">
      <w:pPr>
        <w:rPr>
          <w:b/>
          <w:bCs/>
        </w:rPr>
      </w:pPr>
      <w:r w:rsidRPr="00894CD6">
        <w:rPr>
          <w:b/>
          <w:bCs/>
        </w:rPr>
        <w:t>10. Governing Law and Jurisdiction</w:t>
      </w:r>
    </w:p>
    <w:p w14:paraId="2A51B30F" w14:textId="77777777" w:rsidR="00894CD6" w:rsidRPr="00894CD6" w:rsidRDefault="00894CD6" w:rsidP="00894CD6">
      <w:r w:rsidRPr="00894CD6">
        <w:rPr>
          <w:b/>
          <w:bCs/>
        </w:rPr>
        <w:t>Purpose</w:t>
      </w:r>
      <w:r w:rsidRPr="00894CD6">
        <w:t>: This defines the governing law and jurisdiction in case of disputes, providing clarity on where and under which laws the NDA will be interpreted.</w:t>
      </w:r>
    </w:p>
    <w:p w14:paraId="1B4F1A26" w14:textId="77777777" w:rsidR="00894CD6" w:rsidRPr="00894CD6" w:rsidRDefault="00894CD6" w:rsidP="00894CD6">
      <w:r w:rsidRPr="00894CD6">
        <w:rPr>
          <w:b/>
          <w:bCs/>
        </w:rPr>
        <w:t>What It Covers</w:t>
      </w:r>
      <w:r w:rsidRPr="00894CD6">
        <w:t>: Delaware is chosen here as the governing state, a common choice due to its well-established business laws.</w:t>
      </w:r>
    </w:p>
    <w:p w14:paraId="44AAD329" w14:textId="77777777" w:rsidR="00894CD6" w:rsidRPr="00894CD6" w:rsidRDefault="00894CD6" w:rsidP="00894CD6">
      <w:r w:rsidRPr="00894CD6">
        <w:rPr>
          <w:b/>
          <w:bCs/>
        </w:rPr>
        <w:t>Practical Note</w:t>
      </w:r>
      <w:r w:rsidRPr="00894CD6">
        <w:t>: Specifying jurisdiction is critical in cross-border or interstate deals, as it clarifies where disputes will be settled and under which laws.</w:t>
      </w:r>
    </w:p>
    <w:p w14:paraId="68739DF0" w14:textId="77777777" w:rsidR="00894CD6" w:rsidRPr="00894CD6" w:rsidRDefault="00000000" w:rsidP="00894CD6">
      <w:r>
        <w:pict w14:anchorId="2E75FBC6">
          <v:rect id="_x0000_i1052" style="width:0;height:1.5pt" o:hralign="center" o:hrstd="t" o:hr="t" fillcolor="#a0a0a0" stroked="f"/>
        </w:pict>
      </w:r>
    </w:p>
    <w:p w14:paraId="367EFC6B" w14:textId="77777777" w:rsidR="00894CD6" w:rsidRPr="00894CD6" w:rsidRDefault="00894CD6" w:rsidP="00894CD6">
      <w:pPr>
        <w:rPr>
          <w:b/>
          <w:bCs/>
        </w:rPr>
      </w:pPr>
      <w:r w:rsidRPr="00894CD6">
        <w:rPr>
          <w:b/>
          <w:bCs/>
        </w:rPr>
        <w:t>11. Miscellaneous</w:t>
      </w:r>
    </w:p>
    <w:p w14:paraId="40A674DB" w14:textId="77777777" w:rsidR="00894CD6" w:rsidRPr="00894CD6" w:rsidRDefault="00894CD6" w:rsidP="00894CD6">
      <w:r w:rsidRPr="00894CD6">
        <w:rPr>
          <w:b/>
          <w:bCs/>
        </w:rPr>
        <w:t>Purpose</w:t>
      </w:r>
      <w:r w:rsidRPr="00894CD6">
        <w:t>: These standard clauses tie up any loose ends, making sure the NDA is comprehensive.</w:t>
      </w:r>
    </w:p>
    <w:p w14:paraId="4CDDC32F" w14:textId="77777777" w:rsidR="00894CD6" w:rsidRPr="00894CD6" w:rsidRDefault="00894CD6" w:rsidP="00894CD6">
      <w:r w:rsidRPr="00894CD6">
        <w:rPr>
          <w:b/>
          <w:bCs/>
        </w:rPr>
        <w:t>What It Covers</w:t>
      </w:r>
      <w:r w:rsidRPr="00894CD6">
        <w:t>:</w:t>
      </w:r>
    </w:p>
    <w:p w14:paraId="7295C2CE" w14:textId="77777777" w:rsidR="00894CD6" w:rsidRPr="00894CD6" w:rsidRDefault="00894CD6" w:rsidP="00894CD6">
      <w:pPr>
        <w:numPr>
          <w:ilvl w:val="0"/>
          <w:numId w:val="40"/>
        </w:numPr>
      </w:pPr>
      <w:r w:rsidRPr="00894CD6">
        <w:rPr>
          <w:b/>
          <w:bCs/>
        </w:rPr>
        <w:t>Entire Agreement</w:t>
      </w:r>
      <w:r w:rsidRPr="00894CD6">
        <w:t>: This is the full agreement, and any prior discussions or side agreements are not binding unless included here.</w:t>
      </w:r>
    </w:p>
    <w:p w14:paraId="765F45C7" w14:textId="77777777" w:rsidR="00894CD6" w:rsidRPr="00894CD6" w:rsidRDefault="00894CD6" w:rsidP="00894CD6">
      <w:pPr>
        <w:numPr>
          <w:ilvl w:val="0"/>
          <w:numId w:val="40"/>
        </w:numPr>
      </w:pPr>
      <w:r w:rsidRPr="00894CD6">
        <w:rPr>
          <w:b/>
          <w:bCs/>
        </w:rPr>
        <w:t>Amendment</w:t>
      </w:r>
      <w:r w:rsidRPr="00894CD6">
        <w:t>: Any changes to the NDA need to be in writing and signed by both parties.</w:t>
      </w:r>
    </w:p>
    <w:p w14:paraId="4004E7B1" w14:textId="77777777" w:rsidR="00894CD6" w:rsidRPr="00894CD6" w:rsidRDefault="00894CD6" w:rsidP="00894CD6">
      <w:pPr>
        <w:numPr>
          <w:ilvl w:val="0"/>
          <w:numId w:val="40"/>
        </w:numPr>
      </w:pPr>
      <w:r w:rsidRPr="00894CD6">
        <w:rPr>
          <w:b/>
          <w:bCs/>
        </w:rPr>
        <w:t>Assignment</w:t>
      </w:r>
      <w:r w:rsidRPr="00894CD6">
        <w:t>: Neither party can assign the agreement without the other’s consent.</w:t>
      </w:r>
    </w:p>
    <w:p w14:paraId="173949A5" w14:textId="77777777" w:rsidR="00894CD6" w:rsidRPr="00894CD6" w:rsidRDefault="00894CD6" w:rsidP="00894CD6">
      <w:pPr>
        <w:numPr>
          <w:ilvl w:val="0"/>
          <w:numId w:val="40"/>
        </w:numPr>
      </w:pPr>
      <w:r w:rsidRPr="00894CD6">
        <w:rPr>
          <w:b/>
          <w:bCs/>
        </w:rPr>
        <w:t>Waiver</w:t>
      </w:r>
      <w:r w:rsidRPr="00894CD6">
        <w:t>: A waiver of any breach doesn’t waive future breaches.</w:t>
      </w:r>
    </w:p>
    <w:p w14:paraId="0BCAF857" w14:textId="77777777" w:rsidR="00894CD6" w:rsidRPr="00894CD6" w:rsidRDefault="00894CD6" w:rsidP="00894CD6">
      <w:r w:rsidRPr="00894CD6">
        <w:rPr>
          <w:b/>
          <w:bCs/>
        </w:rPr>
        <w:t>Practical Note</w:t>
      </w:r>
      <w:r w:rsidRPr="00894CD6">
        <w:t>: These clauses make the NDA cohesive and enforceable, tying up any potential gaps or ambiguities in interpretation.</w:t>
      </w:r>
    </w:p>
    <w:p w14:paraId="04A5DA55" w14:textId="77777777" w:rsidR="00894CD6" w:rsidRPr="00894CD6" w:rsidRDefault="00000000" w:rsidP="00894CD6">
      <w:r>
        <w:lastRenderedPageBreak/>
        <w:pict w14:anchorId="7F48A7F4">
          <v:rect id="_x0000_i1053" style="width:0;height:1.5pt" o:hralign="center" o:hrstd="t" o:hr="t" fillcolor="#a0a0a0" stroked="f"/>
        </w:pict>
      </w:r>
    </w:p>
    <w:p w14:paraId="69B58F3F" w14:textId="77777777" w:rsidR="00894CD6" w:rsidRPr="00894CD6" w:rsidRDefault="00894CD6" w:rsidP="00894CD6">
      <w:r w:rsidRPr="00894CD6">
        <w:rPr>
          <w:b/>
          <w:bCs/>
        </w:rPr>
        <w:t>Signature Section</w:t>
      </w:r>
    </w:p>
    <w:p w14:paraId="75454FB5" w14:textId="77777777" w:rsidR="00894CD6" w:rsidRPr="00894CD6" w:rsidRDefault="00894CD6" w:rsidP="00894CD6">
      <w:r w:rsidRPr="00894CD6">
        <w:rPr>
          <w:b/>
          <w:bCs/>
        </w:rPr>
        <w:t>Purpose</w:t>
      </w:r>
      <w:r w:rsidRPr="00894CD6">
        <w:t>: The agreement concludes with signatures, formalizing the terms and showing both parties’ consent.</w:t>
      </w:r>
    </w:p>
    <w:p w14:paraId="7F0FBB33" w14:textId="59E83A2B" w:rsidR="00894CD6" w:rsidRPr="00894CD6" w:rsidRDefault="00894CD6" w:rsidP="00894CD6">
      <w:r w:rsidRPr="00894CD6">
        <w:rPr>
          <w:b/>
          <w:bCs/>
        </w:rPr>
        <w:t>What It Covers</w:t>
      </w:r>
      <w:r w:rsidRPr="00894CD6">
        <w:t xml:space="preserve">: Each party’s authorized representative signs, ensuring that both </w:t>
      </w:r>
      <w:hyperlink r:id="rId34" w:history="1">
        <w:r w:rsidR="00084267" w:rsidRPr="00084267">
          <w:rPr>
            <w:rStyle w:val="Hyperlink"/>
          </w:rPr>
          <w:t xml:space="preserve"> Private Equity Bro</w:t>
        </w:r>
      </w:hyperlink>
      <w:r w:rsidRPr="00894CD6">
        <w:t xml:space="preserve"> and </w:t>
      </w:r>
      <w:r w:rsidR="00084267">
        <w:t xml:space="preserve">ABC </w:t>
      </w:r>
      <w:r w:rsidRPr="00894CD6">
        <w:t>Capital are legally bound by the NDA.</w:t>
      </w:r>
    </w:p>
    <w:p w14:paraId="3D34ADC5" w14:textId="133D47B4" w:rsidR="00D02FE7" w:rsidRDefault="00D02FE7">
      <w:r>
        <w:br w:type="page"/>
      </w:r>
    </w:p>
    <w:p w14:paraId="30F46F2D" w14:textId="7CFBAB0E" w:rsidR="003F54B3" w:rsidRDefault="00D02FE7">
      <w:pPr>
        <w:rPr>
          <w:b/>
          <w:bCs/>
        </w:rPr>
      </w:pPr>
      <w:r w:rsidRPr="00D02FE7">
        <w:rPr>
          <w:b/>
          <w:bCs/>
        </w:rPr>
        <w:lastRenderedPageBreak/>
        <w:t xml:space="preserve">Disclaimer: </w:t>
      </w:r>
    </w:p>
    <w:p w14:paraId="48B6B7CD" w14:textId="7BC91E6F" w:rsidR="00D02FE7" w:rsidRPr="00D02FE7" w:rsidRDefault="00D02FE7" w:rsidP="00D02FE7">
      <w:pPr>
        <w:jc w:val="both"/>
      </w:pPr>
      <w:r w:rsidRPr="00D02FE7">
        <w:t>This document is a fictitious example provided for informational and educational purposes only. The parties, entities, and agreement terms referenced herein are illustrative and do not reflect any real individuals or transactions. This sample should not be construed as legal advice or used as a substitute for legal counsel. Always consult a qualified attorney before drafting, signing, or relying on any legal agreement, particularly in the context of mergers and acquisitions.</w:t>
      </w:r>
    </w:p>
    <w:sectPr w:rsidR="00D02FE7" w:rsidRPr="00D02FE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FB940" w14:textId="77777777" w:rsidR="00096323" w:rsidRDefault="00096323" w:rsidP="00D02FE7">
      <w:pPr>
        <w:spacing w:after="0" w:line="240" w:lineRule="auto"/>
      </w:pPr>
      <w:r>
        <w:separator/>
      </w:r>
    </w:p>
  </w:endnote>
  <w:endnote w:type="continuationSeparator" w:id="0">
    <w:p w14:paraId="0B57EE39" w14:textId="77777777" w:rsidR="00096323" w:rsidRDefault="00096323" w:rsidP="00D02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9A678" w14:textId="77777777" w:rsidR="00096323" w:rsidRDefault="00096323" w:rsidP="00D02FE7">
      <w:pPr>
        <w:spacing w:after="0" w:line="240" w:lineRule="auto"/>
      </w:pPr>
      <w:r>
        <w:separator/>
      </w:r>
    </w:p>
  </w:footnote>
  <w:footnote w:type="continuationSeparator" w:id="0">
    <w:p w14:paraId="1600A948" w14:textId="77777777" w:rsidR="00096323" w:rsidRDefault="00096323" w:rsidP="00D02F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0544E"/>
    <w:multiLevelType w:val="multilevel"/>
    <w:tmpl w:val="DBAE6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C326EC"/>
    <w:multiLevelType w:val="multilevel"/>
    <w:tmpl w:val="A770F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B19C0"/>
    <w:multiLevelType w:val="multilevel"/>
    <w:tmpl w:val="3F04E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7D70A9"/>
    <w:multiLevelType w:val="multilevel"/>
    <w:tmpl w:val="B64C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27EEA"/>
    <w:multiLevelType w:val="multilevel"/>
    <w:tmpl w:val="7B2CA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118BB"/>
    <w:multiLevelType w:val="multilevel"/>
    <w:tmpl w:val="CD1C2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462AB3"/>
    <w:multiLevelType w:val="multilevel"/>
    <w:tmpl w:val="AD122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624B3"/>
    <w:multiLevelType w:val="hybridMultilevel"/>
    <w:tmpl w:val="63B47B28"/>
    <w:lvl w:ilvl="0" w:tplc="B56ED0D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245B6A"/>
    <w:multiLevelType w:val="multilevel"/>
    <w:tmpl w:val="970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84089"/>
    <w:multiLevelType w:val="multilevel"/>
    <w:tmpl w:val="FB0C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FD05CE"/>
    <w:multiLevelType w:val="multilevel"/>
    <w:tmpl w:val="CD060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89259A"/>
    <w:multiLevelType w:val="multilevel"/>
    <w:tmpl w:val="8208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25895"/>
    <w:multiLevelType w:val="multilevel"/>
    <w:tmpl w:val="2D50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623687"/>
    <w:multiLevelType w:val="multilevel"/>
    <w:tmpl w:val="55866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562753"/>
    <w:multiLevelType w:val="multilevel"/>
    <w:tmpl w:val="C8EA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BA555D"/>
    <w:multiLevelType w:val="multilevel"/>
    <w:tmpl w:val="45E24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A3062C"/>
    <w:multiLevelType w:val="multilevel"/>
    <w:tmpl w:val="E58C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502E5C"/>
    <w:multiLevelType w:val="multilevel"/>
    <w:tmpl w:val="93AA7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7474FB"/>
    <w:multiLevelType w:val="multilevel"/>
    <w:tmpl w:val="026A0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8B5BF8"/>
    <w:multiLevelType w:val="multilevel"/>
    <w:tmpl w:val="FCB6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345DB7"/>
    <w:multiLevelType w:val="multilevel"/>
    <w:tmpl w:val="FC362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DF46998"/>
    <w:multiLevelType w:val="multilevel"/>
    <w:tmpl w:val="9962F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CD694D"/>
    <w:multiLevelType w:val="multilevel"/>
    <w:tmpl w:val="1CB0E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805C70"/>
    <w:multiLevelType w:val="multilevel"/>
    <w:tmpl w:val="0EC4D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425C3D"/>
    <w:multiLevelType w:val="multilevel"/>
    <w:tmpl w:val="D8AA7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EC5B7E"/>
    <w:multiLevelType w:val="multilevel"/>
    <w:tmpl w:val="5B68F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0D3823"/>
    <w:multiLevelType w:val="multilevel"/>
    <w:tmpl w:val="A080E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82C474A"/>
    <w:multiLevelType w:val="multilevel"/>
    <w:tmpl w:val="5DB6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C8779A"/>
    <w:multiLevelType w:val="multilevel"/>
    <w:tmpl w:val="1C44AD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A302D5"/>
    <w:multiLevelType w:val="multilevel"/>
    <w:tmpl w:val="95FA3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8C2D72"/>
    <w:multiLevelType w:val="multilevel"/>
    <w:tmpl w:val="48D4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6F326C"/>
    <w:multiLevelType w:val="multilevel"/>
    <w:tmpl w:val="173A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D4146"/>
    <w:multiLevelType w:val="multilevel"/>
    <w:tmpl w:val="DB9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6A4779"/>
    <w:multiLevelType w:val="multilevel"/>
    <w:tmpl w:val="57D03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9D3FCE"/>
    <w:multiLevelType w:val="multilevel"/>
    <w:tmpl w:val="24E6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1B38D9"/>
    <w:multiLevelType w:val="multilevel"/>
    <w:tmpl w:val="4752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760DEC"/>
    <w:multiLevelType w:val="multilevel"/>
    <w:tmpl w:val="7832B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E868B0"/>
    <w:multiLevelType w:val="multilevel"/>
    <w:tmpl w:val="DA488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B81B3B"/>
    <w:multiLevelType w:val="hybridMultilevel"/>
    <w:tmpl w:val="A0987536"/>
    <w:lvl w:ilvl="0" w:tplc="B56ED0D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C60ABE"/>
    <w:multiLevelType w:val="multilevel"/>
    <w:tmpl w:val="BDD6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694D5E"/>
    <w:multiLevelType w:val="hybridMultilevel"/>
    <w:tmpl w:val="C39A94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EE2066B"/>
    <w:multiLevelType w:val="multilevel"/>
    <w:tmpl w:val="CEF8B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0F44EB"/>
    <w:multiLevelType w:val="multilevel"/>
    <w:tmpl w:val="6D0E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84579302">
    <w:abstractNumId w:val="28"/>
  </w:num>
  <w:num w:numId="2" w16cid:durableId="1441300062">
    <w:abstractNumId w:val="6"/>
  </w:num>
  <w:num w:numId="3" w16cid:durableId="1128819250">
    <w:abstractNumId w:val="15"/>
  </w:num>
  <w:num w:numId="4" w16cid:durableId="675884325">
    <w:abstractNumId w:val="22"/>
  </w:num>
  <w:num w:numId="5" w16cid:durableId="1315798213">
    <w:abstractNumId w:val="13"/>
  </w:num>
  <w:num w:numId="6" w16cid:durableId="812254986">
    <w:abstractNumId w:val="33"/>
  </w:num>
  <w:num w:numId="7" w16cid:durableId="1643150929">
    <w:abstractNumId w:val="23"/>
  </w:num>
  <w:num w:numId="8" w16cid:durableId="42144946">
    <w:abstractNumId w:val="18"/>
  </w:num>
  <w:num w:numId="9" w16cid:durableId="2011717201">
    <w:abstractNumId w:val="12"/>
  </w:num>
  <w:num w:numId="10" w16cid:durableId="1919366824">
    <w:abstractNumId w:val="11"/>
  </w:num>
  <w:num w:numId="11" w16cid:durableId="548735312">
    <w:abstractNumId w:val="41"/>
  </w:num>
  <w:num w:numId="12" w16cid:durableId="936838455">
    <w:abstractNumId w:val="34"/>
  </w:num>
  <w:num w:numId="13" w16cid:durableId="216867976">
    <w:abstractNumId w:val="20"/>
  </w:num>
  <w:num w:numId="14" w16cid:durableId="1919171192">
    <w:abstractNumId w:val="19"/>
  </w:num>
  <w:num w:numId="15" w16cid:durableId="880676248">
    <w:abstractNumId w:val="24"/>
  </w:num>
  <w:num w:numId="16" w16cid:durableId="341788336">
    <w:abstractNumId w:val="21"/>
  </w:num>
  <w:num w:numId="17" w16cid:durableId="678241514">
    <w:abstractNumId w:val="29"/>
  </w:num>
  <w:num w:numId="18" w16cid:durableId="1422986848">
    <w:abstractNumId w:val="35"/>
  </w:num>
  <w:num w:numId="19" w16cid:durableId="111900985">
    <w:abstractNumId w:val="16"/>
  </w:num>
  <w:num w:numId="20" w16cid:durableId="193155507">
    <w:abstractNumId w:val="30"/>
  </w:num>
  <w:num w:numId="21" w16cid:durableId="1053113890">
    <w:abstractNumId w:val="8"/>
  </w:num>
  <w:num w:numId="22" w16cid:durableId="622080590">
    <w:abstractNumId w:val="27"/>
  </w:num>
  <w:num w:numId="23" w16cid:durableId="2057387321">
    <w:abstractNumId w:val="3"/>
  </w:num>
  <w:num w:numId="24" w16cid:durableId="417991594">
    <w:abstractNumId w:val="32"/>
  </w:num>
  <w:num w:numId="25" w16cid:durableId="438067218">
    <w:abstractNumId w:val="9"/>
  </w:num>
  <w:num w:numId="26" w16cid:durableId="589199909">
    <w:abstractNumId w:val="31"/>
  </w:num>
  <w:num w:numId="27" w16cid:durableId="1376392506">
    <w:abstractNumId w:val="2"/>
  </w:num>
  <w:num w:numId="28" w16cid:durableId="212234291">
    <w:abstractNumId w:val="42"/>
  </w:num>
  <w:num w:numId="29" w16cid:durableId="1925459026">
    <w:abstractNumId w:val="14"/>
  </w:num>
  <w:num w:numId="30" w16cid:durableId="2087798497">
    <w:abstractNumId w:val="4"/>
  </w:num>
  <w:num w:numId="31" w16cid:durableId="97022347">
    <w:abstractNumId w:val="26"/>
  </w:num>
  <w:num w:numId="32" w16cid:durableId="506285895">
    <w:abstractNumId w:val="10"/>
  </w:num>
  <w:num w:numId="33" w16cid:durableId="2121991064">
    <w:abstractNumId w:val="1"/>
  </w:num>
  <w:num w:numId="34" w16cid:durableId="192622007">
    <w:abstractNumId w:val="17"/>
  </w:num>
  <w:num w:numId="35" w16cid:durableId="472912138">
    <w:abstractNumId w:val="5"/>
  </w:num>
  <w:num w:numId="36" w16cid:durableId="1319841614">
    <w:abstractNumId w:val="25"/>
  </w:num>
  <w:num w:numId="37" w16cid:durableId="1627736448">
    <w:abstractNumId w:val="36"/>
  </w:num>
  <w:num w:numId="38" w16cid:durableId="1394886062">
    <w:abstractNumId w:val="0"/>
  </w:num>
  <w:num w:numId="39" w16cid:durableId="1142695230">
    <w:abstractNumId w:val="39"/>
  </w:num>
  <w:num w:numId="40" w16cid:durableId="180316101">
    <w:abstractNumId w:val="37"/>
  </w:num>
  <w:num w:numId="41" w16cid:durableId="250701953">
    <w:abstractNumId w:val="7"/>
  </w:num>
  <w:num w:numId="42" w16cid:durableId="1210802585">
    <w:abstractNumId w:val="38"/>
  </w:num>
  <w:num w:numId="43" w16cid:durableId="117441492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B51"/>
    <w:rsid w:val="00084267"/>
    <w:rsid w:val="00096323"/>
    <w:rsid w:val="00381863"/>
    <w:rsid w:val="003F54B3"/>
    <w:rsid w:val="004C7B51"/>
    <w:rsid w:val="0054444B"/>
    <w:rsid w:val="00894CD6"/>
    <w:rsid w:val="00AD7C9C"/>
    <w:rsid w:val="00BC5B65"/>
    <w:rsid w:val="00C37CA6"/>
    <w:rsid w:val="00D02FE7"/>
    <w:rsid w:val="00DB7AAF"/>
    <w:rsid w:val="00DE58A2"/>
    <w:rsid w:val="00DF7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8C334"/>
  <w15:chartTrackingRefBased/>
  <w15:docId w15:val="{88372005-98D3-48AC-A19E-C8F87924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7B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7B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7B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7B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7B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7B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7B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7B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7B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B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7B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7B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7B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C7B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C7B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7B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7B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7B51"/>
    <w:rPr>
      <w:rFonts w:eastAsiaTheme="majorEastAsia" w:cstheme="majorBidi"/>
      <w:color w:val="272727" w:themeColor="text1" w:themeTint="D8"/>
    </w:rPr>
  </w:style>
  <w:style w:type="paragraph" w:styleId="Title">
    <w:name w:val="Title"/>
    <w:basedOn w:val="Normal"/>
    <w:next w:val="Normal"/>
    <w:link w:val="TitleChar"/>
    <w:uiPriority w:val="10"/>
    <w:qFormat/>
    <w:rsid w:val="004C7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B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7B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7B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7B51"/>
    <w:pPr>
      <w:spacing w:before="160"/>
      <w:jc w:val="center"/>
    </w:pPr>
    <w:rPr>
      <w:i/>
      <w:iCs/>
      <w:color w:val="404040" w:themeColor="text1" w:themeTint="BF"/>
    </w:rPr>
  </w:style>
  <w:style w:type="character" w:customStyle="1" w:styleId="QuoteChar">
    <w:name w:val="Quote Char"/>
    <w:basedOn w:val="DefaultParagraphFont"/>
    <w:link w:val="Quote"/>
    <w:uiPriority w:val="29"/>
    <w:rsid w:val="004C7B51"/>
    <w:rPr>
      <w:i/>
      <w:iCs/>
      <w:color w:val="404040" w:themeColor="text1" w:themeTint="BF"/>
    </w:rPr>
  </w:style>
  <w:style w:type="paragraph" w:styleId="ListParagraph">
    <w:name w:val="List Paragraph"/>
    <w:basedOn w:val="Normal"/>
    <w:uiPriority w:val="34"/>
    <w:qFormat/>
    <w:rsid w:val="004C7B51"/>
    <w:pPr>
      <w:ind w:left="720"/>
      <w:contextualSpacing/>
    </w:pPr>
  </w:style>
  <w:style w:type="character" w:styleId="IntenseEmphasis">
    <w:name w:val="Intense Emphasis"/>
    <w:basedOn w:val="DefaultParagraphFont"/>
    <w:uiPriority w:val="21"/>
    <w:qFormat/>
    <w:rsid w:val="004C7B51"/>
    <w:rPr>
      <w:i/>
      <w:iCs/>
      <w:color w:val="0F4761" w:themeColor="accent1" w:themeShade="BF"/>
    </w:rPr>
  </w:style>
  <w:style w:type="paragraph" w:styleId="IntenseQuote">
    <w:name w:val="Intense Quote"/>
    <w:basedOn w:val="Normal"/>
    <w:next w:val="Normal"/>
    <w:link w:val="IntenseQuoteChar"/>
    <w:uiPriority w:val="30"/>
    <w:qFormat/>
    <w:rsid w:val="004C7B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7B51"/>
    <w:rPr>
      <w:i/>
      <w:iCs/>
      <w:color w:val="0F4761" w:themeColor="accent1" w:themeShade="BF"/>
    </w:rPr>
  </w:style>
  <w:style w:type="character" w:styleId="IntenseReference">
    <w:name w:val="Intense Reference"/>
    <w:basedOn w:val="DefaultParagraphFont"/>
    <w:uiPriority w:val="32"/>
    <w:qFormat/>
    <w:rsid w:val="004C7B51"/>
    <w:rPr>
      <w:b/>
      <w:bCs/>
      <w:smallCaps/>
      <w:color w:val="0F4761" w:themeColor="accent1" w:themeShade="BF"/>
      <w:spacing w:val="5"/>
    </w:rPr>
  </w:style>
  <w:style w:type="character" w:styleId="Hyperlink">
    <w:name w:val="Hyperlink"/>
    <w:basedOn w:val="DefaultParagraphFont"/>
    <w:uiPriority w:val="99"/>
    <w:unhideWhenUsed/>
    <w:rsid w:val="00C37CA6"/>
    <w:rPr>
      <w:color w:val="467886" w:themeColor="hyperlink"/>
      <w:u w:val="single"/>
    </w:rPr>
  </w:style>
  <w:style w:type="character" w:styleId="UnresolvedMention">
    <w:name w:val="Unresolved Mention"/>
    <w:basedOn w:val="DefaultParagraphFont"/>
    <w:uiPriority w:val="99"/>
    <w:semiHidden/>
    <w:unhideWhenUsed/>
    <w:rsid w:val="00C37CA6"/>
    <w:rPr>
      <w:color w:val="605E5C"/>
      <w:shd w:val="clear" w:color="auto" w:fill="E1DFDD"/>
    </w:rPr>
  </w:style>
  <w:style w:type="paragraph" w:styleId="Header">
    <w:name w:val="header"/>
    <w:basedOn w:val="Normal"/>
    <w:link w:val="HeaderChar"/>
    <w:uiPriority w:val="99"/>
    <w:unhideWhenUsed/>
    <w:rsid w:val="00D02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2FE7"/>
  </w:style>
  <w:style w:type="paragraph" w:styleId="Footer">
    <w:name w:val="footer"/>
    <w:basedOn w:val="Normal"/>
    <w:link w:val="FooterChar"/>
    <w:uiPriority w:val="99"/>
    <w:unhideWhenUsed/>
    <w:rsid w:val="00D02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9225">
      <w:bodyDiv w:val="1"/>
      <w:marLeft w:val="0"/>
      <w:marRight w:val="0"/>
      <w:marTop w:val="0"/>
      <w:marBottom w:val="0"/>
      <w:divBdr>
        <w:top w:val="none" w:sz="0" w:space="0" w:color="auto"/>
        <w:left w:val="none" w:sz="0" w:space="0" w:color="auto"/>
        <w:bottom w:val="none" w:sz="0" w:space="0" w:color="auto"/>
        <w:right w:val="none" w:sz="0" w:space="0" w:color="auto"/>
      </w:divBdr>
    </w:div>
    <w:div w:id="327639537">
      <w:bodyDiv w:val="1"/>
      <w:marLeft w:val="0"/>
      <w:marRight w:val="0"/>
      <w:marTop w:val="0"/>
      <w:marBottom w:val="0"/>
      <w:divBdr>
        <w:top w:val="none" w:sz="0" w:space="0" w:color="auto"/>
        <w:left w:val="none" w:sz="0" w:space="0" w:color="auto"/>
        <w:bottom w:val="none" w:sz="0" w:space="0" w:color="auto"/>
        <w:right w:val="none" w:sz="0" w:space="0" w:color="auto"/>
      </w:divBdr>
    </w:div>
    <w:div w:id="484201942">
      <w:bodyDiv w:val="1"/>
      <w:marLeft w:val="0"/>
      <w:marRight w:val="0"/>
      <w:marTop w:val="0"/>
      <w:marBottom w:val="0"/>
      <w:divBdr>
        <w:top w:val="none" w:sz="0" w:space="0" w:color="auto"/>
        <w:left w:val="none" w:sz="0" w:space="0" w:color="auto"/>
        <w:bottom w:val="none" w:sz="0" w:space="0" w:color="auto"/>
        <w:right w:val="none" w:sz="0" w:space="0" w:color="auto"/>
      </w:divBdr>
    </w:div>
    <w:div w:id="537083948">
      <w:bodyDiv w:val="1"/>
      <w:marLeft w:val="0"/>
      <w:marRight w:val="0"/>
      <w:marTop w:val="0"/>
      <w:marBottom w:val="0"/>
      <w:divBdr>
        <w:top w:val="none" w:sz="0" w:space="0" w:color="auto"/>
        <w:left w:val="none" w:sz="0" w:space="0" w:color="auto"/>
        <w:bottom w:val="none" w:sz="0" w:space="0" w:color="auto"/>
        <w:right w:val="none" w:sz="0" w:space="0" w:color="auto"/>
      </w:divBdr>
    </w:div>
    <w:div w:id="551379968">
      <w:bodyDiv w:val="1"/>
      <w:marLeft w:val="0"/>
      <w:marRight w:val="0"/>
      <w:marTop w:val="0"/>
      <w:marBottom w:val="0"/>
      <w:divBdr>
        <w:top w:val="none" w:sz="0" w:space="0" w:color="auto"/>
        <w:left w:val="none" w:sz="0" w:space="0" w:color="auto"/>
        <w:bottom w:val="none" w:sz="0" w:space="0" w:color="auto"/>
        <w:right w:val="none" w:sz="0" w:space="0" w:color="auto"/>
      </w:divBdr>
    </w:div>
    <w:div w:id="551695352">
      <w:bodyDiv w:val="1"/>
      <w:marLeft w:val="0"/>
      <w:marRight w:val="0"/>
      <w:marTop w:val="0"/>
      <w:marBottom w:val="0"/>
      <w:divBdr>
        <w:top w:val="none" w:sz="0" w:space="0" w:color="auto"/>
        <w:left w:val="none" w:sz="0" w:space="0" w:color="auto"/>
        <w:bottom w:val="none" w:sz="0" w:space="0" w:color="auto"/>
        <w:right w:val="none" w:sz="0" w:space="0" w:color="auto"/>
      </w:divBdr>
    </w:div>
    <w:div w:id="660232111">
      <w:bodyDiv w:val="1"/>
      <w:marLeft w:val="0"/>
      <w:marRight w:val="0"/>
      <w:marTop w:val="0"/>
      <w:marBottom w:val="0"/>
      <w:divBdr>
        <w:top w:val="none" w:sz="0" w:space="0" w:color="auto"/>
        <w:left w:val="none" w:sz="0" w:space="0" w:color="auto"/>
        <w:bottom w:val="none" w:sz="0" w:space="0" w:color="auto"/>
        <w:right w:val="none" w:sz="0" w:space="0" w:color="auto"/>
      </w:divBdr>
    </w:div>
    <w:div w:id="746729128">
      <w:bodyDiv w:val="1"/>
      <w:marLeft w:val="0"/>
      <w:marRight w:val="0"/>
      <w:marTop w:val="0"/>
      <w:marBottom w:val="0"/>
      <w:divBdr>
        <w:top w:val="none" w:sz="0" w:space="0" w:color="auto"/>
        <w:left w:val="none" w:sz="0" w:space="0" w:color="auto"/>
        <w:bottom w:val="none" w:sz="0" w:space="0" w:color="auto"/>
        <w:right w:val="none" w:sz="0" w:space="0" w:color="auto"/>
      </w:divBdr>
    </w:div>
    <w:div w:id="777406391">
      <w:bodyDiv w:val="1"/>
      <w:marLeft w:val="0"/>
      <w:marRight w:val="0"/>
      <w:marTop w:val="0"/>
      <w:marBottom w:val="0"/>
      <w:divBdr>
        <w:top w:val="none" w:sz="0" w:space="0" w:color="auto"/>
        <w:left w:val="none" w:sz="0" w:space="0" w:color="auto"/>
        <w:bottom w:val="none" w:sz="0" w:space="0" w:color="auto"/>
        <w:right w:val="none" w:sz="0" w:space="0" w:color="auto"/>
      </w:divBdr>
    </w:div>
    <w:div w:id="1047072923">
      <w:bodyDiv w:val="1"/>
      <w:marLeft w:val="0"/>
      <w:marRight w:val="0"/>
      <w:marTop w:val="0"/>
      <w:marBottom w:val="0"/>
      <w:divBdr>
        <w:top w:val="none" w:sz="0" w:space="0" w:color="auto"/>
        <w:left w:val="none" w:sz="0" w:space="0" w:color="auto"/>
        <w:bottom w:val="none" w:sz="0" w:space="0" w:color="auto"/>
        <w:right w:val="none" w:sz="0" w:space="0" w:color="auto"/>
      </w:divBdr>
    </w:div>
    <w:div w:id="1480074806">
      <w:bodyDiv w:val="1"/>
      <w:marLeft w:val="0"/>
      <w:marRight w:val="0"/>
      <w:marTop w:val="0"/>
      <w:marBottom w:val="0"/>
      <w:divBdr>
        <w:top w:val="none" w:sz="0" w:space="0" w:color="auto"/>
        <w:left w:val="none" w:sz="0" w:space="0" w:color="auto"/>
        <w:bottom w:val="none" w:sz="0" w:space="0" w:color="auto"/>
        <w:right w:val="none" w:sz="0" w:space="0" w:color="auto"/>
      </w:divBdr>
    </w:div>
    <w:div w:id="1665011059">
      <w:bodyDiv w:val="1"/>
      <w:marLeft w:val="0"/>
      <w:marRight w:val="0"/>
      <w:marTop w:val="0"/>
      <w:marBottom w:val="0"/>
      <w:divBdr>
        <w:top w:val="none" w:sz="0" w:space="0" w:color="auto"/>
        <w:left w:val="none" w:sz="0" w:space="0" w:color="auto"/>
        <w:bottom w:val="none" w:sz="0" w:space="0" w:color="auto"/>
        <w:right w:val="none" w:sz="0" w:space="0" w:color="auto"/>
      </w:divBdr>
    </w:div>
    <w:div w:id="1712807019">
      <w:bodyDiv w:val="1"/>
      <w:marLeft w:val="0"/>
      <w:marRight w:val="0"/>
      <w:marTop w:val="0"/>
      <w:marBottom w:val="0"/>
      <w:divBdr>
        <w:top w:val="none" w:sz="0" w:space="0" w:color="auto"/>
        <w:left w:val="none" w:sz="0" w:space="0" w:color="auto"/>
        <w:bottom w:val="none" w:sz="0" w:space="0" w:color="auto"/>
        <w:right w:val="none" w:sz="0" w:space="0" w:color="auto"/>
      </w:divBdr>
    </w:div>
    <w:div w:id="1719815567">
      <w:bodyDiv w:val="1"/>
      <w:marLeft w:val="0"/>
      <w:marRight w:val="0"/>
      <w:marTop w:val="0"/>
      <w:marBottom w:val="0"/>
      <w:divBdr>
        <w:top w:val="none" w:sz="0" w:space="0" w:color="auto"/>
        <w:left w:val="none" w:sz="0" w:space="0" w:color="auto"/>
        <w:bottom w:val="none" w:sz="0" w:space="0" w:color="auto"/>
        <w:right w:val="none" w:sz="0" w:space="0" w:color="auto"/>
      </w:divBdr>
    </w:div>
    <w:div w:id="1798141110">
      <w:bodyDiv w:val="1"/>
      <w:marLeft w:val="0"/>
      <w:marRight w:val="0"/>
      <w:marTop w:val="0"/>
      <w:marBottom w:val="0"/>
      <w:divBdr>
        <w:top w:val="none" w:sz="0" w:space="0" w:color="auto"/>
        <w:left w:val="none" w:sz="0" w:space="0" w:color="auto"/>
        <w:bottom w:val="none" w:sz="0" w:space="0" w:color="auto"/>
        <w:right w:val="none" w:sz="0" w:space="0" w:color="auto"/>
      </w:divBdr>
    </w:div>
    <w:div w:id="214611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ivateequitybro.com/product/fund-of-funds-financial-model/" TargetMode="External"/><Relationship Id="rId18" Type="http://schemas.openxmlformats.org/officeDocument/2006/relationships/hyperlink" Target="https://privateequitybro.com/Advanced-resources/" TargetMode="External"/><Relationship Id="rId26" Type="http://schemas.openxmlformats.org/officeDocument/2006/relationships/hyperlink" Target="https://privateequitybro.com/Advanced-resources/" TargetMode="External"/><Relationship Id="rId3" Type="http://schemas.openxmlformats.org/officeDocument/2006/relationships/settings" Target="settings.xml"/><Relationship Id="rId21" Type="http://schemas.openxmlformats.org/officeDocument/2006/relationships/hyperlink" Target="https://privateequitybro.com/Advanced-resources/" TargetMode="External"/><Relationship Id="rId34" Type="http://schemas.openxmlformats.org/officeDocument/2006/relationships/hyperlink" Target="https://privateequitybro.com/Advanced-resources/" TargetMode="External"/><Relationship Id="rId7" Type="http://schemas.openxmlformats.org/officeDocument/2006/relationships/hyperlink" Target="https://privateequitybro.com/Advanced-resources/" TargetMode="External"/><Relationship Id="rId12" Type="http://schemas.openxmlformats.org/officeDocument/2006/relationships/hyperlink" Target="https://privateequitybro.com/product/merger-financial-model/" TargetMode="External"/><Relationship Id="rId17" Type="http://schemas.openxmlformats.org/officeDocument/2006/relationships/hyperlink" Target="https://privateequitybro.com/Advanced-resources/" TargetMode="External"/><Relationship Id="rId25" Type="http://schemas.openxmlformats.org/officeDocument/2006/relationships/hyperlink" Target="https://privateequitybro.com/Advanced-resources/" TargetMode="External"/><Relationship Id="rId33" Type="http://schemas.openxmlformats.org/officeDocument/2006/relationships/hyperlink" Target="https://privateequitybro.com/Advanced-resources/" TargetMode="External"/><Relationship Id="rId2" Type="http://schemas.openxmlformats.org/officeDocument/2006/relationships/styles" Target="styles.xml"/><Relationship Id="rId16" Type="http://schemas.openxmlformats.org/officeDocument/2006/relationships/hyperlink" Target="https://privateequitybro.com/Advanced-resources/" TargetMode="External"/><Relationship Id="rId20" Type="http://schemas.openxmlformats.org/officeDocument/2006/relationships/hyperlink" Target="https://privateequitybro.com/Advanced-resources/" TargetMode="External"/><Relationship Id="rId29" Type="http://schemas.openxmlformats.org/officeDocument/2006/relationships/hyperlink" Target="https://privateequitybro.com/Advanced-resour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ivateequitybro.com/product/lbo-financial-model/" TargetMode="External"/><Relationship Id="rId24" Type="http://schemas.openxmlformats.org/officeDocument/2006/relationships/hyperlink" Target="https://privateequitybro.com/Advanced-resources/" TargetMode="External"/><Relationship Id="rId32" Type="http://schemas.openxmlformats.org/officeDocument/2006/relationships/hyperlink" Target="https://privateequitybro.com/Advanced-resources/" TargetMode="External"/><Relationship Id="rId5" Type="http://schemas.openxmlformats.org/officeDocument/2006/relationships/footnotes" Target="footnotes.xml"/><Relationship Id="rId15" Type="http://schemas.openxmlformats.org/officeDocument/2006/relationships/hyperlink" Target="https://privateequitybro.com/Advanced-resources/" TargetMode="External"/><Relationship Id="rId23" Type="http://schemas.openxmlformats.org/officeDocument/2006/relationships/hyperlink" Target="https://privateequitybro.com/Advanced-resources/" TargetMode="External"/><Relationship Id="rId28" Type="http://schemas.openxmlformats.org/officeDocument/2006/relationships/hyperlink" Target="https://privateequitybro.com/Advanced-resources/" TargetMode="External"/><Relationship Id="rId36" Type="http://schemas.openxmlformats.org/officeDocument/2006/relationships/theme" Target="theme/theme1.xml"/><Relationship Id="rId10" Type="http://schemas.openxmlformats.org/officeDocument/2006/relationships/hyperlink" Target="https://privateequitybro.com/product/transaction-master-file/" TargetMode="External"/><Relationship Id="rId19" Type="http://schemas.openxmlformats.org/officeDocument/2006/relationships/hyperlink" Target="https://privateequitybro.com/Advanced-resources/" TargetMode="External"/><Relationship Id="rId31" Type="http://schemas.openxmlformats.org/officeDocument/2006/relationships/hyperlink" Target="https://privateequitybro.com/Advanced-resources/" TargetMode="External"/><Relationship Id="rId4" Type="http://schemas.openxmlformats.org/officeDocument/2006/relationships/webSettings" Target="webSettings.xml"/><Relationship Id="rId9" Type="http://schemas.openxmlformats.org/officeDocument/2006/relationships/hyperlink" Target="https://privateequitybro.com/Advanced-resources/" TargetMode="External"/><Relationship Id="rId14" Type="http://schemas.openxmlformats.org/officeDocument/2006/relationships/hyperlink" Target="https://privateequitybro.com/product/real-estate-case-study-advanced-level/" TargetMode="External"/><Relationship Id="rId22" Type="http://schemas.openxmlformats.org/officeDocument/2006/relationships/hyperlink" Target="https://privateequitybro.com/Advanced-resources/" TargetMode="External"/><Relationship Id="rId27" Type="http://schemas.openxmlformats.org/officeDocument/2006/relationships/hyperlink" Target="https://privateequitybro.com/Advanced-resources/" TargetMode="External"/><Relationship Id="rId30" Type="http://schemas.openxmlformats.org/officeDocument/2006/relationships/hyperlink" Target="https://privateequitybro.com/Advanced-resources/"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223</TotalTime>
  <Pages>14</Pages>
  <Words>3084</Words>
  <Characters>17581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 Bro</dc:creator>
  <cp:keywords/>
  <dc:description/>
  <cp:lastModifiedBy>PE Bro</cp:lastModifiedBy>
  <cp:revision>7</cp:revision>
  <dcterms:created xsi:type="dcterms:W3CDTF">2024-11-14T15:39:00Z</dcterms:created>
  <dcterms:modified xsi:type="dcterms:W3CDTF">2025-07-24T13:03:00Z</dcterms:modified>
</cp:coreProperties>
</file>